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219B9F7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B94160">
        <w:rPr>
          <w:rFonts w:cs="Arial"/>
          <w:b/>
        </w:rPr>
        <w:t>5</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40F0E84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77777777" w:rsidR="00420AFB" w:rsidRPr="005056C8" w:rsidRDefault="007909A7" w:rsidP="005056C8">
      <w:pPr>
        <w:spacing w:line="240" w:lineRule="auto"/>
        <w:rPr>
          <w:rFonts w:eastAsiaTheme="majorEastAsia" w:cs="Arial"/>
          <w:b/>
          <w:bCs/>
          <w:color w:val="003087"/>
          <w:spacing w:val="5"/>
          <w:kern w:val="28"/>
          <w:sz w:val="28"/>
          <w:szCs w:val="26"/>
        </w:rPr>
      </w:pPr>
      <w:bookmarkStart w:id="3" w:name="_Hlk10288990"/>
      <w:r w:rsidRPr="005056C8">
        <w:rPr>
          <w:rFonts w:eastAsia="Times New Roman" w:cs="Arial"/>
        </w:rPr>
        <w:t xml:space="preserve">We welcome your feedback on the use of the UK Local Information Pack. If you would like to provide feedback, please take the </w:t>
      </w:r>
      <w:hyperlink r:id="rId8" w:history="1">
        <w:r w:rsidRPr="005056C8">
          <w:rPr>
            <w:rStyle w:val="Hyperlink"/>
            <w:rFonts w:eastAsia="Times New Roman" w:cs="Arial"/>
          </w:rPr>
          <w:t>UK Local Information Pack Survey</w:t>
        </w:r>
      </w:hyperlink>
      <w:r w:rsidRPr="005056C8">
        <w:rPr>
          <w:rFonts w:eastAsia="Times New Roman" w:cs="Arial"/>
        </w:rPr>
        <w:t>.</w:t>
      </w:r>
      <w:r w:rsidR="00420AFB" w:rsidRPr="005056C8">
        <w:rPr>
          <w:rFonts w:cs="Arial"/>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CBCE24E" w:rsidR="00333315" w:rsidRPr="005056C8" w:rsidRDefault="000869B6"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bookmarkStart w:id="4" w:name="_GoBack"/>
                <w:r w:rsidRPr="000869B6">
                  <w:rPr>
                    <w:rStyle w:val="PlaceholderText"/>
                    <w:rFonts w:cs="Arial"/>
                    <w:b w:val="0"/>
                  </w:rPr>
                  <w:t>Enter IRAS Project ID</w:t>
                </w:r>
                <w:bookmarkEnd w:id="4"/>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0869B6"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EndPr>
            <w:rPr>
              <w:rStyle w:val="Style3"/>
            </w:rPr>
          </w:sdtEndPr>
          <w:sdtContent>
            <w:tc>
              <w:tcPr>
                <w:tcW w:w="5410" w:type="dxa"/>
                <w:gridSpan w:val="2"/>
                <w:vAlign w:val="bottom"/>
              </w:tcPr>
              <w:p w14:paraId="0A3926DB" w14:textId="77777777" w:rsidR="003E0744" w:rsidRPr="005056C8" w:rsidRDefault="007D3020" w:rsidP="005056C8">
                <w:pPr>
                  <w:rPr>
                    <w:rStyle w:val="Style3"/>
                    <w:rFonts w:cs="Arial"/>
                  </w:rPr>
                </w:pPr>
                <w:r w:rsidRPr="007D3020">
                  <w:rPr>
                    <w:rStyle w:val="Style3"/>
                    <w:rFonts w:cs="Arial"/>
                    <w:color w:val="808080" w:themeColor="background1" w:themeShade="80"/>
                  </w:rPr>
                  <w:t>Enter legal name</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5"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5"/>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7777777" w:rsidR="009F12DA" w:rsidRPr="005056C8" w:rsidRDefault="000869B6"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5056C8">
                  <w:rPr>
                    <w:rStyle w:val="PlaceholderText"/>
                    <w:rFonts w:cs="Arial"/>
                    <w:b w:val="0"/>
                    <w:color w:val="808080" w:themeColor="background1" w:themeShade="80"/>
                  </w:rPr>
                  <w:t>Select yes or 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0869B6"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0869B6"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0869B6"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0869B6"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0869B6"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0869B6"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0869B6"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0869B6"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0869B6"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6" w:name="_Hlk19636477"/>
      <w:r w:rsidRPr="005056C8">
        <w:rPr>
          <w:rFonts w:cs="Arial"/>
        </w:rPr>
        <w:lastRenderedPageBreak/>
        <w:t xml:space="preserve">Study </w:t>
      </w:r>
      <w:bookmarkEnd w:id="6"/>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27B5F7F9" w14:textId="77777777" w:rsidR="00BD5682" w:rsidRPr="005056C8" w:rsidRDefault="00FB2477" w:rsidP="005056C8">
                <w:pPr>
                  <w:pStyle w:val="Question"/>
                  <w:spacing w:before="120"/>
                  <w:rPr>
                    <w:rStyle w:val="Style1"/>
                    <w:rFonts w:cs="Arial"/>
                    <w:b/>
                  </w:rPr>
                </w:pPr>
                <w:r w:rsidRPr="005056C8">
                  <w:rPr>
                    <w:rStyle w:val="PlaceholderText"/>
                    <w:rFonts w:cs="Arial"/>
                    <w:b w:val="0"/>
                    <w:color w:val="808080" w:themeColor="background1" w:themeShade="80"/>
                  </w:rPr>
                  <w:t>Enter training that will be provided</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BFBFBF" w:themeColor="background1" w:themeShade="BF"/>
              </w:rPr>
            </w:sdtEndPr>
            <w:sdtContent>
              <w:p w14:paraId="3F73938F"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color w:val="808080" w:themeColor="background1" w:themeShade="80"/>
                  </w:rPr>
                  <w:t xml:space="preserve"> Enter training expectation</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lastRenderedPageBreak/>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7777777" w:rsidR="00B85665" w:rsidRPr="005056C8" w:rsidRDefault="00B85665" w:rsidP="00337620">
                <w:pPr>
                  <w:spacing w:before="120"/>
                  <w:rPr>
                    <w:rFonts w:cs="Arial"/>
                    <w:b/>
                    <w:szCs w:val="24"/>
                  </w:rPr>
                </w:pPr>
                <w:r w:rsidRPr="005056C8">
                  <w:rPr>
                    <w:rStyle w:val="PlaceholderText"/>
                    <w:rFonts w:cs="Arial"/>
                    <w:szCs w:val="24"/>
                  </w:rPr>
                  <w:t>Enter name</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337620">
                <w:pPr>
                  <w:spacing w:before="120"/>
                  <w:rPr>
                    <w:rFonts w:cs="Arial"/>
                    <w:b/>
                    <w:szCs w:val="24"/>
                  </w:rPr>
                </w:pPr>
                <w:r w:rsidRPr="005056C8">
                  <w:rPr>
                    <w:rStyle w:val="PlaceholderText"/>
                    <w:rFonts w:cs="Arial"/>
                    <w:szCs w:val="24"/>
                  </w:rPr>
                  <w:t>Enter job title</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337620">
                <w:pPr>
                  <w:spacing w:before="120"/>
                  <w:rPr>
                    <w:rFonts w:cs="Arial"/>
                    <w:b/>
                    <w:szCs w:val="24"/>
                  </w:rPr>
                </w:pPr>
                <w:r w:rsidRPr="005056C8">
                  <w:rPr>
                    <w:rFonts w:cs="Arial"/>
                    <w:color w:val="808080" w:themeColor="background1" w:themeShade="80"/>
                    <w:szCs w:val="24"/>
                  </w:rPr>
                  <w:t>Enter organisation name</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77777777" w:rsidR="003F32D3" w:rsidRPr="005056C8" w:rsidRDefault="003F32D3" w:rsidP="005056C8">
                <w:pPr>
                  <w:spacing w:before="120"/>
                  <w:rPr>
                    <w:rStyle w:val="EditablefieldChar"/>
                    <w:rFonts w:cs="Arial"/>
                    <w:color w:val="BFBFBF" w:themeColor="background1" w:themeShade="BF"/>
                  </w:rPr>
                </w:pPr>
                <w:r w:rsidRPr="005056C8">
                  <w:rPr>
                    <w:rStyle w:val="EditablefieldChar"/>
                    <w:rFonts w:cs="Arial"/>
                    <w:color w:val="808080" w:themeColor="background1" w:themeShade="80"/>
                  </w:rPr>
                  <w:t>Select from drop down list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w:t>
      </w:r>
      <w:proofErr w:type="gramStart"/>
      <w:r w:rsidRPr="005056C8">
        <w:rPr>
          <w:rFonts w:cs="Arial"/>
          <w:szCs w:val="24"/>
        </w:rPr>
        <w:t>at all times</w:t>
      </w:r>
      <w:proofErr w:type="gramEnd"/>
      <w:r w:rsidRPr="005056C8">
        <w:rPr>
          <w:rFonts w:cs="Arial"/>
          <w:szCs w:val="24"/>
        </w:rPr>
        <w:t xml:space="preserve">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w:t>
      </w:r>
      <w:proofErr w:type="gramStart"/>
      <w:r w:rsidRPr="005056C8">
        <w:rPr>
          <w:rFonts w:cs="Arial"/>
          <w:szCs w:val="24"/>
        </w:rPr>
        <w:t>as a result of</w:t>
      </w:r>
      <w:proofErr w:type="gramEnd"/>
      <w:r w:rsidRPr="005056C8">
        <w:rPr>
          <w:rFonts w:cs="Arial"/>
          <w:szCs w:val="24"/>
        </w:rPr>
        <w:t xml:space="preserve">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2DA4B2CA"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clauses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institutions”),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F2324" w:rsidRPr="00BA4EF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9D4020" w:rsidRPr="00BA4EF6">
        <w:rPr>
          <w:rFonts w:cs="Arial"/>
          <w:szCs w:val="24"/>
          <w:highlight w:val="yellow"/>
        </w:rPr>
        <w:t>s</w:t>
      </w:r>
      <w:r w:rsidR="00757BE3" w:rsidRPr="00BA4EF6">
        <w:rPr>
          <w:rFonts w:cs="Arial"/>
          <w:szCs w:val="24"/>
          <w:highlight w:val="yellow"/>
        </w:rPr>
        <w:t>tudy.  For the avoidance of doubt, the Co-</w:t>
      </w:r>
      <w:r w:rsidR="00C7380F" w:rsidRPr="00BA4EF6">
        <w:rPr>
          <w:rFonts w:cs="Arial"/>
          <w:szCs w:val="24"/>
          <w:highlight w:val="yellow"/>
        </w:rPr>
        <w:t>Sponsor</w:t>
      </w:r>
      <w:r w:rsidR="00757BE3" w:rsidRPr="00BA4EF6">
        <w:rPr>
          <w:rFonts w:cs="Arial"/>
          <w:szCs w:val="24"/>
          <w:highlight w:val="yellow"/>
        </w:rPr>
        <w:t xml:space="preserve"> institutions’ liability is not joint and several. </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7DFF71CA"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clauses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 </w:t>
      </w:r>
      <w:r w:rsidR="00C7380F" w:rsidRPr="00230DEA">
        <w:rPr>
          <w:rFonts w:cs="Arial"/>
          <w:szCs w:val="24"/>
          <w:highlight w:val="yellow"/>
        </w:rPr>
        <w:t>Sponsor</w:t>
      </w:r>
      <w:r w:rsidR="00757BE3" w:rsidRPr="00230DEA">
        <w:rPr>
          <w:rFonts w:cs="Arial"/>
          <w:szCs w:val="24"/>
          <w:highlight w:val="yellow"/>
        </w:rPr>
        <w:t xml:space="preserve"> institutions”),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230DEA">
        <w:rPr>
          <w:rFonts w:cs="Arial"/>
          <w:szCs w:val="24"/>
          <w:highlight w:val="yellow"/>
        </w:rPr>
        <w:t>Sponsor</w:t>
      </w:r>
      <w:r w:rsidR="00757BE3" w:rsidRPr="00230DEA">
        <w:rPr>
          <w:rFonts w:cs="Arial"/>
          <w:szCs w:val="24"/>
          <w:highlight w:val="yellow"/>
        </w:rPr>
        <w:t xml:space="preserve"> institution (which includes a Joint </w:t>
      </w:r>
      <w:r w:rsidR="00C7380F" w:rsidRPr="00230DEA">
        <w:rPr>
          <w:rFonts w:cs="Arial"/>
          <w:szCs w:val="24"/>
          <w:highlight w:val="yellow"/>
        </w:rPr>
        <w:t>Sponsor</w:t>
      </w:r>
      <w:r w:rsidR="00757BE3" w:rsidRPr="00230DEA">
        <w:rPr>
          <w:rFonts w:cs="Arial"/>
          <w:szCs w:val="24"/>
          <w:highlight w:val="yellow"/>
        </w:rPr>
        <w:t xml:space="preserve"> institution’s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9D4020" w:rsidRPr="00230DEA">
        <w:rPr>
          <w:rFonts w:cs="Arial"/>
          <w:szCs w:val="24"/>
          <w:highlight w:val="yellow"/>
        </w:rPr>
        <w:t>s</w:t>
      </w:r>
      <w:r w:rsidR="00757BE3" w:rsidRPr="00230DEA">
        <w:rPr>
          <w:rFonts w:cs="Arial"/>
          <w:szCs w:val="24"/>
          <w:highlight w:val="yellow"/>
        </w:rPr>
        <w:t xml:space="preserve">tudy.  For the avoidance of doubt, the Joint </w:t>
      </w:r>
      <w:r w:rsidR="00C7380F" w:rsidRPr="00230DEA">
        <w:rPr>
          <w:rFonts w:cs="Arial"/>
          <w:szCs w:val="24"/>
          <w:highlight w:val="yellow"/>
        </w:rPr>
        <w:t>Sponsor</w:t>
      </w:r>
      <w:r w:rsidR="00757BE3" w:rsidRPr="00230DEA">
        <w:rPr>
          <w:rFonts w:cs="Arial"/>
          <w:szCs w:val="24"/>
          <w:highlight w:val="yellow"/>
        </w:rPr>
        <w:t xml:space="preserve"> institutions’ liability is joint and several.</w:t>
      </w:r>
      <w:r w:rsidR="00D218F9" w:rsidRPr="00230DEA">
        <w:rPr>
          <w:rFonts w:cs="Arial"/>
          <w:szCs w:val="24"/>
          <w:highlight w:val="yellow"/>
        </w:rPr>
        <w:t xml:space="preserve"> </w:t>
      </w:r>
    </w:p>
    <w:p w14:paraId="61216640" w14:textId="77777777"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lastRenderedPageBreak/>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w:t>
      </w:r>
      <w:r w:rsidRPr="005056C8">
        <w:rPr>
          <w:rFonts w:cs="Arial"/>
          <w:szCs w:val="24"/>
        </w:rPr>
        <w:lastRenderedPageBreak/>
        <w:t xml:space="preserve">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proofErr w:type="gramStart"/>
      <w:r w:rsidR="00440083" w:rsidRPr="005056C8">
        <w:rPr>
          <w:rFonts w:cs="Arial"/>
          <w:szCs w:val="24"/>
        </w:rPr>
        <w:t>s</w:t>
      </w:r>
      <w:r w:rsidRPr="005056C8">
        <w:rPr>
          <w:rFonts w:cs="Arial"/>
          <w:szCs w:val="24"/>
        </w:rPr>
        <w:t>chemes</w:t>
      </w:r>
      <w:proofErr w:type="gramEnd"/>
      <w:r w:rsidRPr="005056C8">
        <w:rPr>
          <w:rFonts w:cs="Arial"/>
          <w:szCs w:val="24"/>
        </w:rPr>
        <w:t xml:space="preserve">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9" w:name="_Hlk4665350"/>
      <w:r w:rsidR="00440083" w:rsidRPr="002F1761">
        <w:rPr>
          <w:rFonts w:cs="Arial"/>
          <w:szCs w:val="24"/>
          <w:highlight w:val="yellow"/>
        </w:rPr>
        <w:t xml:space="preserve"> </w:t>
      </w:r>
      <w:bookmarkEnd w:id="9"/>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37ECDDF2" w14:textId="77777777" w:rsidR="007C32F0" w:rsidRPr="005056C8" w:rsidRDefault="007C32F0" w:rsidP="002F1761">
      <w:pPr>
        <w:pStyle w:val="BodyTextIndent"/>
        <w:tabs>
          <w:tab w:val="left" w:pos="425"/>
        </w:tabs>
        <w:spacing w:line="240" w:lineRule="auto"/>
        <w:ind w:left="426"/>
        <w:rPr>
          <w:rFonts w:cs="Arial"/>
          <w:b/>
          <w:szCs w:val="24"/>
          <w:highlight w:val="yellow"/>
        </w:rPr>
      </w:pPr>
      <w:r w:rsidRPr="005056C8">
        <w:rPr>
          <w:rFonts w:cs="Arial"/>
          <w:b/>
          <w:szCs w:val="24"/>
          <w:highlight w:val="yellow"/>
        </w:rPr>
        <w:lastRenderedPageBreak/>
        <w:t>OR</w:t>
      </w:r>
    </w:p>
    <w:p w14:paraId="7101BF36"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6B117CD7" w14:textId="311C043E"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of each of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183DCE28"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7777777"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w:t>
      </w:r>
      <w:proofErr w:type="gramStart"/>
      <w:r w:rsidRPr="005056C8">
        <w:rPr>
          <w:rFonts w:cs="Arial"/>
          <w:color w:val="000000" w:themeColor="text1"/>
          <w:szCs w:val="24"/>
          <w:highlight w:val="yellow"/>
        </w:rPr>
        <w:t>as a result of</w:t>
      </w:r>
      <w:proofErr w:type="gramEnd"/>
      <w:r w:rsidRPr="005056C8">
        <w:rPr>
          <w:rFonts w:cs="Arial"/>
          <w:color w:val="000000" w:themeColor="text1"/>
          <w:szCs w:val="24"/>
          <w:highlight w:val="yellow"/>
        </w:rPr>
        <w:t xml:space="preserve">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lastRenderedPageBreak/>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 xml:space="preserve">egislation, including but not limited to an appropriate legal </w:t>
      </w:r>
      <w:r w:rsidRPr="005056C8">
        <w:rPr>
          <w:rFonts w:ascii="Arial" w:hAnsi="Arial" w:cs="Arial"/>
          <w:szCs w:val="24"/>
        </w:rPr>
        <w:lastRenderedPageBreak/>
        <w:t>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necessarily disclosed by the receiving Party </w:t>
      </w:r>
      <w:proofErr w:type="gramStart"/>
      <w:r w:rsidRPr="005056C8">
        <w:rPr>
          <w:rFonts w:ascii="Arial" w:hAnsi="Arial" w:cs="Arial"/>
          <w:szCs w:val="24"/>
        </w:rPr>
        <w:t>by virtue of</w:t>
      </w:r>
      <w:proofErr w:type="gramEnd"/>
      <w:r w:rsidRPr="005056C8">
        <w:rPr>
          <w:rFonts w:ascii="Arial" w:hAnsi="Arial" w:cs="Arial"/>
          <w:szCs w:val="24"/>
        </w:rPr>
        <w:t xml:space="preserve">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lastRenderedPageBreak/>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 xml:space="preserve">under </w:t>
      </w:r>
      <w:proofErr w:type="gramStart"/>
      <w:r w:rsidRPr="005056C8">
        <w:rPr>
          <w:rFonts w:cs="Arial"/>
          <w:i/>
          <w:iCs/>
          <w:szCs w:val="24"/>
        </w:rPr>
        <w:t>as a result of</w:t>
      </w:r>
      <w:proofErr w:type="gramEnd"/>
      <w:r w:rsidRPr="005056C8">
        <w:rPr>
          <w:rFonts w:cs="Arial"/>
          <w:i/>
          <w:iCs/>
          <w:szCs w:val="24"/>
        </w:rPr>
        <w:t xml:space="preserve">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w:t>
      </w:r>
      <w:proofErr w:type="gramStart"/>
      <w:r w:rsidRPr="005056C8">
        <w:rPr>
          <w:rFonts w:cs="Arial"/>
          <w:szCs w:val="24"/>
        </w:rPr>
        <w:t>particular purpose</w:t>
      </w:r>
      <w:proofErr w:type="gramEnd"/>
      <w:r w:rsidRPr="005056C8">
        <w:rPr>
          <w:rFonts w:cs="Arial"/>
          <w:szCs w:val="24"/>
        </w:rPr>
        <w:t>,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w:t>
      </w:r>
      <w:proofErr w:type="gramStart"/>
      <w:r w:rsidRPr="005056C8">
        <w:rPr>
          <w:rFonts w:cs="Arial"/>
          <w:szCs w:val="24"/>
        </w:rPr>
        <w:t>for the purpose of</w:t>
      </w:r>
      <w:proofErr w:type="gramEnd"/>
      <w:r w:rsidRPr="005056C8">
        <w:rPr>
          <w:rFonts w:cs="Arial"/>
          <w:szCs w:val="24"/>
        </w:rPr>
        <w:t xml:space="preserve">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 xml:space="preserve">the purposes of the data protection legislation, the Sponsor is the controller and the Participating NHS / HSC Organisation is the Sponsor's processor in relation to all processing of personal data that is processed </w:t>
      </w:r>
      <w:proofErr w:type="gramStart"/>
      <w:r w:rsidRPr="005056C8">
        <w:rPr>
          <w:rFonts w:ascii="Arial" w:hAnsi="Arial" w:cs="Arial"/>
          <w:szCs w:val="24"/>
        </w:rPr>
        <w:t>for the purpose of</w:t>
      </w:r>
      <w:proofErr w:type="gramEnd"/>
      <w:r w:rsidRPr="005056C8">
        <w:rPr>
          <w:rFonts w:ascii="Arial" w:hAnsi="Arial" w:cs="Arial"/>
          <w:szCs w:val="24"/>
        </w:rPr>
        <w:t xml:space="preserve">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w:t>
      </w:r>
      <w:proofErr w:type="gramStart"/>
      <w:r w:rsidRPr="005056C8">
        <w:rPr>
          <w:rFonts w:ascii="Arial" w:hAnsi="Arial" w:cs="Arial"/>
          <w:szCs w:val="24"/>
        </w:rPr>
        <w:t>for the purpose of</w:t>
      </w:r>
      <w:proofErr w:type="gramEnd"/>
      <w:r w:rsidRPr="005056C8">
        <w:rPr>
          <w:rFonts w:ascii="Arial" w:hAnsi="Arial" w:cs="Arial"/>
          <w:szCs w:val="24"/>
        </w:rPr>
        <w:t xml:space="preserve">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w:t>
      </w:r>
      <w:proofErr w:type="gramStart"/>
      <w:r w:rsidRPr="005056C8">
        <w:rPr>
          <w:rFonts w:ascii="Arial" w:hAnsi="Arial" w:cs="Arial"/>
          <w:szCs w:val="24"/>
        </w:rPr>
        <w:t>for the purpose of</w:t>
      </w:r>
      <w:proofErr w:type="gramEnd"/>
      <w:r w:rsidRPr="005056C8">
        <w:rPr>
          <w:rFonts w:ascii="Arial" w:hAnsi="Arial" w:cs="Arial"/>
          <w:szCs w:val="24"/>
        </w:rPr>
        <w:t xml:space="preserve">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w:t>
      </w:r>
      <w:proofErr w:type="gramStart"/>
      <w:r w:rsidRPr="005056C8">
        <w:rPr>
          <w:rFonts w:ascii="Arial" w:hAnsi="Arial" w:cs="Arial"/>
          <w:szCs w:val="24"/>
        </w:rPr>
        <w:t>sufficient</w:t>
      </w:r>
      <w:proofErr w:type="gramEnd"/>
      <w:r w:rsidRPr="005056C8">
        <w:rPr>
          <w:rFonts w:ascii="Arial" w:hAnsi="Arial" w:cs="Arial"/>
          <w:szCs w:val="24"/>
        </w:rPr>
        <w:t xml:space="preserve">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 xml:space="preserve">ontroller </w:t>
      </w:r>
      <w:proofErr w:type="gramStart"/>
      <w:r w:rsidRPr="005056C8">
        <w:rPr>
          <w:rFonts w:ascii="Arial" w:hAnsi="Arial" w:cs="Arial"/>
          <w:szCs w:val="24"/>
        </w:rPr>
        <w:t>for the purpose of</w:t>
      </w:r>
      <w:proofErr w:type="gramEnd"/>
      <w:r w:rsidRPr="005056C8">
        <w:rPr>
          <w:rFonts w:ascii="Arial" w:hAnsi="Arial" w:cs="Arial"/>
          <w:szCs w:val="24"/>
        </w:rPr>
        <w:t xml:space="preserve">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B64BBAA"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w:t>
      </w:r>
      <w:proofErr w:type="gramStart"/>
      <w:r w:rsidRPr="005056C8">
        <w:rPr>
          <w:rFonts w:cs="Arial"/>
          <w:szCs w:val="24"/>
        </w:rPr>
        <w:t>for the purpose of</w:t>
      </w:r>
      <w:proofErr w:type="gramEnd"/>
      <w:r w:rsidRPr="005056C8">
        <w:rPr>
          <w:rFonts w:cs="Arial"/>
          <w:szCs w:val="24"/>
        </w:rPr>
        <w:t xml:space="preserve">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4"/>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5" w:name="_Hlk5390165"/>
      <w:r w:rsidR="0056355E" w:rsidRPr="005056C8">
        <w:rPr>
          <w:rFonts w:cs="Arial"/>
          <w:szCs w:val="24"/>
        </w:rPr>
        <w:t>NHS / HSC Organisation</w:t>
      </w:r>
      <w:bookmarkEnd w:id="15"/>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6" w:name="_Ref169688056"/>
      <w:bookmarkEnd w:id="16"/>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7"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7"/>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8"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8"/>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FC0D" w14:textId="77777777" w:rsidR="002E3A33" w:rsidRDefault="002E3A33" w:rsidP="009050CF">
      <w:pPr>
        <w:spacing w:after="0" w:line="240" w:lineRule="auto"/>
      </w:pPr>
      <w:r>
        <w:separator/>
      </w:r>
    </w:p>
  </w:endnote>
  <w:endnote w:type="continuationSeparator" w:id="0">
    <w:p w14:paraId="35EE0B0C" w14:textId="77777777" w:rsidR="002E3A33" w:rsidRDefault="002E3A33"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9752" w14:textId="77777777" w:rsidR="002E3A33" w:rsidRDefault="002E3A33">
    <w:pPr>
      <w:pStyle w:val="Footer"/>
      <w:rPr>
        <w:sz w:val="20"/>
        <w:szCs w:val="20"/>
      </w:rPr>
    </w:pPr>
  </w:p>
  <w:p w14:paraId="007C1662" w14:textId="77777777"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12AA" w14:textId="77777777" w:rsidR="002E3A33" w:rsidRDefault="002E3A33" w:rsidP="009050CF">
      <w:pPr>
        <w:spacing w:after="0" w:line="240" w:lineRule="auto"/>
      </w:pPr>
      <w:r>
        <w:separator/>
      </w:r>
    </w:p>
  </w:footnote>
  <w:footnote w:type="continuationSeparator" w:id="0">
    <w:p w14:paraId="6D19EE46" w14:textId="77777777" w:rsidR="002E3A33" w:rsidRDefault="002E3A33"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5B9DAD2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23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6A7D"/>
    <w:rsid w:val="00582567"/>
    <w:rsid w:val="00583C8A"/>
    <w:rsid w:val="005941A1"/>
    <w:rsid w:val="005A1639"/>
    <w:rsid w:val="005A34D7"/>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55862505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D3"/>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2547-91D7-4ACB-91EC-F091EFB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8252</Words>
  <Characters>47043</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2019-09-27T08:28:00Z</dcterms:created>
  <dcterms:modified xsi:type="dcterms:W3CDTF">2019-09-27T08:28:00Z</dcterms:modified>
  <cp:category/>
</cp:coreProperties>
</file>