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A2443" w14:textId="77777777" w:rsidR="00353181" w:rsidRDefault="00F549FC" w:rsidP="00353181">
      <w:pPr>
        <w:pStyle w:val="Heading1"/>
        <w:spacing w:before="1440" w:after="1440"/>
      </w:pPr>
      <w:r>
        <w:t xml:space="preserve">Guidance on the use of </w:t>
      </w:r>
      <w:r w:rsidR="007C1840">
        <w:t>Model Clinical Trial Agreement (</w:t>
      </w:r>
      <w:proofErr w:type="spellStart"/>
      <w:r w:rsidR="007C1840">
        <w:t>mCTA</w:t>
      </w:r>
      <w:proofErr w:type="spellEnd"/>
      <w:r w:rsidR="007C1840">
        <w:t>) and</w:t>
      </w:r>
      <w:r w:rsidR="00353181">
        <w:t xml:space="preserve"> </w:t>
      </w:r>
      <w:r w:rsidR="007C1840">
        <w:t>Clinical Research Organisation Model Clinical Trial Agreement (CRO-</w:t>
      </w:r>
      <w:proofErr w:type="spellStart"/>
      <w:r w:rsidR="007C1840">
        <w:t>mCTA</w:t>
      </w:r>
      <w:proofErr w:type="spellEnd"/>
      <w:r w:rsidR="007C1840">
        <w:t>)</w:t>
      </w:r>
    </w:p>
    <w:p w14:paraId="3C450516" w14:textId="1C7DC7CD" w:rsidR="00A36354" w:rsidRDefault="00C14E9C" w:rsidP="00353181">
      <w:pPr>
        <w:pStyle w:val="Heading1"/>
        <w:spacing w:before="1440" w:after="1440"/>
      </w:pPr>
      <w:r>
        <w:t>October 2023</w:t>
      </w:r>
    </w:p>
    <w:p w14:paraId="52683F44" w14:textId="6B29104E" w:rsidR="00353181" w:rsidRPr="00A36354" w:rsidRDefault="00A36354" w:rsidP="009F1458">
      <w:pPr>
        <w:pStyle w:val="Heading1"/>
        <w:spacing w:before="1440" w:after="360"/>
        <w:rPr>
          <w:b w:val="0"/>
          <w:bCs/>
          <w:color w:val="0C6DFC"/>
          <w:sz w:val="32"/>
        </w:rPr>
      </w:pPr>
      <w:r w:rsidRPr="00A36354">
        <w:rPr>
          <w:sz w:val="32"/>
        </w:rPr>
        <w:t>Contents</w:t>
      </w:r>
    </w:p>
    <w:p w14:paraId="02AB8C2A" w14:textId="67D71A7B" w:rsidR="000A0044" w:rsidRDefault="004451CE">
      <w:pPr>
        <w:pStyle w:val="TOC1"/>
        <w:rPr>
          <w:rFonts w:asciiTheme="minorHAnsi" w:eastAsiaTheme="minorEastAsia" w:hAnsiTheme="minorHAnsi"/>
          <w:noProof/>
          <w:color w:val="auto"/>
          <w:kern w:val="2"/>
          <w:sz w:val="22"/>
          <w:lang w:eastAsia="en-GB"/>
          <w14:ligatures w14:val="standardContextual"/>
        </w:rPr>
      </w:pPr>
      <w:r>
        <w:fldChar w:fldCharType="begin"/>
      </w:r>
      <w:r>
        <w:instrText xml:space="preserve"> TOC \h \z \u \t "Heading 2,1,Heading 3,2" </w:instrText>
      </w:r>
      <w:r>
        <w:fldChar w:fldCharType="separate"/>
      </w:r>
      <w:hyperlink w:anchor="_Toc146538113" w:history="1">
        <w:r w:rsidR="000A0044" w:rsidRPr="00D223B9">
          <w:rPr>
            <w:rStyle w:val="Hyperlink"/>
            <w:noProof/>
          </w:rPr>
          <w:t>Introduction</w:t>
        </w:r>
        <w:r w:rsidR="000A0044">
          <w:rPr>
            <w:noProof/>
            <w:webHidden/>
          </w:rPr>
          <w:tab/>
        </w:r>
        <w:r w:rsidR="000A0044">
          <w:rPr>
            <w:noProof/>
            <w:webHidden/>
          </w:rPr>
          <w:fldChar w:fldCharType="begin"/>
        </w:r>
        <w:r w:rsidR="000A0044">
          <w:rPr>
            <w:noProof/>
            <w:webHidden/>
          </w:rPr>
          <w:instrText xml:space="preserve"> PAGEREF _Toc146538113 \h </w:instrText>
        </w:r>
        <w:r w:rsidR="000A0044">
          <w:rPr>
            <w:noProof/>
            <w:webHidden/>
          </w:rPr>
        </w:r>
        <w:r w:rsidR="000A0044">
          <w:rPr>
            <w:noProof/>
            <w:webHidden/>
          </w:rPr>
          <w:fldChar w:fldCharType="separate"/>
        </w:r>
        <w:r w:rsidR="000A0044">
          <w:rPr>
            <w:noProof/>
            <w:webHidden/>
          </w:rPr>
          <w:t>2</w:t>
        </w:r>
        <w:r w:rsidR="000A0044">
          <w:rPr>
            <w:noProof/>
            <w:webHidden/>
          </w:rPr>
          <w:fldChar w:fldCharType="end"/>
        </w:r>
      </w:hyperlink>
    </w:p>
    <w:p w14:paraId="0A2CD1BF" w14:textId="1476C0A5" w:rsidR="000A0044" w:rsidRDefault="00947F42">
      <w:pPr>
        <w:pStyle w:val="TOC1"/>
        <w:rPr>
          <w:rFonts w:asciiTheme="minorHAnsi" w:eastAsiaTheme="minorEastAsia" w:hAnsiTheme="minorHAnsi"/>
          <w:noProof/>
          <w:color w:val="auto"/>
          <w:kern w:val="2"/>
          <w:sz w:val="22"/>
          <w:lang w:eastAsia="en-GB"/>
          <w14:ligatures w14:val="standardContextual"/>
        </w:rPr>
      </w:pPr>
      <w:hyperlink w:anchor="_Toc146538114" w:history="1">
        <w:r w:rsidR="000A0044" w:rsidRPr="00D223B9">
          <w:rPr>
            <w:rStyle w:val="Hyperlink"/>
            <w:noProof/>
          </w:rPr>
          <w:t>Structure of the Guidance</w:t>
        </w:r>
        <w:r w:rsidR="000A0044">
          <w:rPr>
            <w:noProof/>
            <w:webHidden/>
          </w:rPr>
          <w:tab/>
        </w:r>
        <w:r w:rsidR="000A0044">
          <w:rPr>
            <w:noProof/>
            <w:webHidden/>
          </w:rPr>
          <w:fldChar w:fldCharType="begin"/>
        </w:r>
        <w:r w:rsidR="000A0044">
          <w:rPr>
            <w:noProof/>
            <w:webHidden/>
          </w:rPr>
          <w:instrText xml:space="preserve"> PAGEREF _Toc146538114 \h </w:instrText>
        </w:r>
        <w:r w:rsidR="000A0044">
          <w:rPr>
            <w:noProof/>
            <w:webHidden/>
          </w:rPr>
        </w:r>
        <w:r w:rsidR="000A0044">
          <w:rPr>
            <w:noProof/>
            <w:webHidden/>
          </w:rPr>
          <w:fldChar w:fldCharType="separate"/>
        </w:r>
        <w:r w:rsidR="000A0044">
          <w:rPr>
            <w:noProof/>
            <w:webHidden/>
          </w:rPr>
          <w:t>2</w:t>
        </w:r>
        <w:r w:rsidR="000A0044">
          <w:rPr>
            <w:noProof/>
            <w:webHidden/>
          </w:rPr>
          <w:fldChar w:fldCharType="end"/>
        </w:r>
      </w:hyperlink>
    </w:p>
    <w:p w14:paraId="74773F7D" w14:textId="2B0DA494" w:rsidR="000A0044" w:rsidRDefault="00947F42">
      <w:pPr>
        <w:pStyle w:val="TOC1"/>
        <w:rPr>
          <w:rFonts w:asciiTheme="minorHAnsi" w:eastAsiaTheme="minorEastAsia" w:hAnsiTheme="minorHAnsi"/>
          <w:noProof/>
          <w:color w:val="auto"/>
          <w:kern w:val="2"/>
          <w:sz w:val="22"/>
          <w:lang w:eastAsia="en-GB"/>
          <w14:ligatures w14:val="standardContextual"/>
        </w:rPr>
      </w:pPr>
      <w:hyperlink w:anchor="_Toc146538115" w:history="1">
        <w:r w:rsidR="000A0044" w:rsidRPr="00D223B9">
          <w:rPr>
            <w:rStyle w:val="Hyperlink"/>
            <w:noProof/>
          </w:rPr>
          <w:t>Section 1: Use of the mCTAs</w:t>
        </w:r>
        <w:r w:rsidR="000A0044">
          <w:rPr>
            <w:noProof/>
            <w:webHidden/>
          </w:rPr>
          <w:tab/>
        </w:r>
        <w:r w:rsidR="000A0044">
          <w:rPr>
            <w:noProof/>
            <w:webHidden/>
          </w:rPr>
          <w:fldChar w:fldCharType="begin"/>
        </w:r>
        <w:r w:rsidR="000A0044">
          <w:rPr>
            <w:noProof/>
            <w:webHidden/>
          </w:rPr>
          <w:instrText xml:space="preserve"> PAGEREF _Toc146538115 \h </w:instrText>
        </w:r>
        <w:r w:rsidR="000A0044">
          <w:rPr>
            <w:noProof/>
            <w:webHidden/>
          </w:rPr>
        </w:r>
        <w:r w:rsidR="000A0044">
          <w:rPr>
            <w:noProof/>
            <w:webHidden/>
          </w:rPr>
          <w:fldChar w:fldCharType="separate"/>
        </w:r>
        <w:r w:rsidR="000A0044">
          <w:rPr>
            <w:noProof/>
            <w:webHidden/>
          </w:rPr>
          <w:t>2</w:t>
        </w:r>
        <w:r w:rsidR="000A0044">
          <w:rPr>
            <w:noProof/>
            <w:webHidden/>
          </w:rPr>
          <w:fldChar w:fldCharType="end"/>
        </w:r>
      </w:hyperlink>
    </w:p>
    <w:p w14:paraId="1DCB8A9A" w14:textId="3F0B71F4" w:rsidR="000A0044" w:rsidRDefault="00947F42">
      <w:pPr>
        <w:pStyle w:val="TOC1"/>
        <w:rPr>
          <w:rFonts w:asciiTheme="minorHAnsi" w:eastAsiaTheme="minorEastAsia" w:hAnsiTheme="minorHAnsi"/>
          <w:noProof/>
          <w:color w:val="auto"/>
          <w:kern w:val="2"/>
          <w:sz w:val="22"/>
          <w:lang w:eastAsia="en-GB"/>
          <w14:ligatures w14:val="standardContextual"/>
        </w:rPr>
      </w:pPr>
      <w:hyperlink w:anchor="_Toc146538116" w:history="1">
        <w:r w:rsidR="000A0044" w:rsidRPr="00D223B9">
          <w:rPr>
            <w:rStyle w:val="Hyperlink"/>
            <w:noProof/>
          </w:rPr>
          <w:t>Section 2: Guidance on the Provisions in the mCTAs</w:t>
        </w:r>
        <w:r w:rsidR="000A0044">
          <w:rPr>
            <w:noProof/>
            <w:webHidden/>
          </w:rPr>
          <w:tab/>
        </w:r>
        <w:r w:rsidR="000A0044">
          <w:rPr>
            <w:noProof/>
            <w:webHidden/>
          </w:rPr>
          <w:fldChar w:fldCharType="begin"/>
        </w:r>
        <w:r w:rsidR="000A0044">
          <w:rPr>
            <w:noProof/>
            <w:webHidden/>
          </w:rPr>
          <w:instrText xml:space="preserve"> PAGEREF _Toc146538116 \h </w:instrText>
        </w:r>
        <w:r w:rsidR="000A0044">
          <w:rPr>
            <w:noProof/>
            <w:webHidden/>
          </w:rPr>
        </w:r>
        <w:r w:rsidR="000A0044">
          <w:rPr>
            <w:noProof/>
            <w:webHidden/>
          </w:rPr>
          <w:fldChar w:fldCharType="separate"/>
        </w:r>
        <w:r w:rsidR="000A0044">
          <w:rPr>
            <w:noProof/>
            <w:webHidden/>
          </w:rPr>
          <w:t>6</w:t>
        </w:r>
        <w:r w:rsidR="000A0044">
          <w:rPr>
            <w:noProof/>
            <w:webHidden/>
          </w:rPr>
          <w:fldChar w:fldCharType="end"/>
        </w:r>
      </w:hyperlink>
    </w:p>
    <w:p w14:paraId="2490E560" w14:textId="0FA9D55B" w:rsidR="000A0044" w:rsidRDefault="00947F42">
      <w:pPr>
        <w:pStyle w:val="TOC2"/>
        <w:tabs>
          <w:tab w:val="right" w:leader="dot" w:pos="9288"/>
        </w:tabs>
        <w:rPr>
          <w:rFonts w:asciiTheme="minorHAnsi" w:eastAsiaTheme="minorEastAsia" w:hAnsiTheme="minorHAnsi"/>
          <w:noProof/>
          <w:color w:val="auto"/>
          <w:kern w:val="2"/>
          <w:sz w:val="22"/>
          <w:lang w:eastAsia="en-GB"/>
          <w14:ligatures w14:val="standardContextual"/>
        </w:rPr>
      </w:pPr>
      <w:hyperlink w:anchor="_Toc146538117" w:history="1">
        <w:r w:rsidR="000A0044" w:rsidRPr="00D223B9">
          <w:rPr>
            <w:rStyle w:val="Hyperlink"/>
            <w:noProof/>
          </w:rPr>
          <w:t>Contact Points for Advice and Assistance</w:t>
        </w:r>
        <w:r w:rsidR="000A0044">
          <w:rPr>
            <w:noProof/>
            <w:webHidden/>
          </w:rPr>
          <w:tab/>
        </w:r>
        <w:r w:rsidR="000A0044">
          <w:rPr>
            <w:noProof/>
            <w:webHidden/>
          </w:rPr>
          <w:fldChar w:fldCharType="begin"/>
        </w:r>
        <w:r w:rsidR="000A0044">
          <w:rPr>
            <w:noProof/>
            <w:webHidden/>
          </w:rPr>
          <w:instrText xml:space="preserve"> PAGEREF _Toc146538117 \h </w:instrText>
        </w:r>
        <w:r w:rsidR="000A0044">
          <w:rPr>
            <w:noProof/>
            <w:webHidden/>
          </w:rPr>
        </w:r>
        <w:r w:rsidR="000A0044">
          <w:rPr>
            <w:noProof/>
            <w:webHidden/>
          </w:rPr>
          <w:fldChar w:fldCharType="separate"/>
        </w:r>
        <w:r w:rsidR="000A0044">
          <w:rPr>
            <w:noProof/>
            <w:webHidden/>
          </w:rPr>
          <w:t>18</w:t>
        </w:r>
        <w:r w:rsidR="000A0044">
          <w:rPr>
            <w:noProof/>
            <w:webHidden/>
          </w:rPr>
          <w:fldChar w:fldCharType="end"/>
        </w:r>
      </w:hyperlink>
    </w:p>
    <w:p w14:paraId="65BC6CE3" w14:textId="5243C8EE" w:rsidR="000A0044" w:rsidRDefault="00947F42">
      <w:pPr>
        <w:pStyle w:val="TOC1"/>
        <w:rPr>
          <w:rFonts w:asciiTheme="minorHAnsi" w:eastAsiaTheme="minorEastAsia" w:hAnsiTheme="minorHAnsi"/>
          <w:noProof/>
          <w:color w:val="auto"/>
          <w:kern w:val="2"/>
          <w:sz w:val="22"/>
          <w:lang w:eastAsia="en-GB"/>
          <w14:ligatures w14:val="standardContextual"/>
        </w:rPr>
      </w:pPr>
      <w:hyperlink w:anchor="_Toc146538118" w:history="1">
        <w:r w:rsidR="000A0044" w:rsidRPr="00D223B9">
          <w:rPr>
            <w:rStyle w:val="Hyperlink"/>
            <w:noProof/>
          </w:rPr>
          <w:t>Section 3: Background and Change History</w:t>
        </w:r>
        <w:r w:rsidR="000A0044">
          <w:rPr>
            <w:noProof/>
            <w:webHidden/>
          </w:rPr>
          <w:tab/>
        </w:r>
        <w:r w:rsidR="000A0044">
          <w:rPr>
            <w:noProof/>
            <w:webHidden/>
          </w:rPr>
          <w:fldChar w:fldCharType="begin"/>
        </w:r>
        <w:r w:rsidR="000A0044">
          <w:rPr>
            <w:noProof/>
            <w:webHidden/>
          </w:rPr>
          <w:instrText xml:space="preserve"> PAGEREF _Toc146538118 \h </w:instrText>
        </w:r>
        <w:r w:rsidR="000A0044">
          <w:rPr>
            <w:noProof/>
            <w:webHidden/>
          </w:rPr>
        </w:r>
        <w:r w:rsidR="000A0044">
          <w:rPr>
            <w:noProof/>
            <w:webHidden/>
          </w:rPr>
          <w:fldChar w:fldCharType="separate"/>
        </w:r>
        <w:r w:rsidR="000A0044">
          <w:rPr>
            <w:noProof/>
            <w:webHidden/>
          </w:rPr>
          <w:t>19</w:t>
        </w:r>
        <w:r w:rsidR="000A0044">
          <w:rPr>
            <w:noProof/>
            <w:webHidden/>
          </w:rPr>
          <w:fldChar w:fldCharType="end"/>
        </w:r>
      </w:hyperlink>
    </w:p>
    <w:p w14:paraId="08AA3894" w14:textId="052AEADD" w:rsidR="000A0044" w:rsidRDefault="00947F42">
      <w:pPr>
        <w:pStyle w:val="TOC2"/>
        <w:tabs>
          <w:tab w:val="right" w:leader="dot" w:pos="9288"/>
        </w:tabs>
        <w:rPr>
          <w:rFonts w:asciiTheme="minorHAnsi" w:eastAsiaTheme="minorEastAsia" w:hAnsiTheme="minorHAnsi"/>
          <w:noProof/>
          <w:color w:val="auto"/>
          <w:kern w:val="2"/>
          <w:sz w:val="22"/>
          <w:lang w:eastAsia="en-GB"/>
          <w14:ligatures w14:val="standardContextual"/>
        </w:rPr>
      </w:pPr>
      <w:hyperlink w:anchor="_Toc146538119" w:history="1">
        <w:r w:rsidR="000A0044" w:rsidRPr="00D223B9">
          <w:rPr>
            <w:rStyle w:val="Hyperlink"/>
            <w:noProof/>
          </w:rPr>
          <w:t>Background</w:t>
        </w:r>
        <w:r w:rsidR="000A0044">
          <w:rPr>
            <w:noProof/>
            <w:webHidden/>
          </w:rPr>
          <w:tab/>
        </w:r>
        <w:r w:rsidR="000A0044">
          <w:rPr>
            <w:noProof/>
            <w:webHidden/>
          </w:rPr>
          <w:fldChar w:fldCharType="begin"/>
        </w:r>
        <w:r w:rsidR="000A0044">
          <w:rPr>
            <w:noProof/>
            <w:webHidden/>
          </w:rPr>
          <w:instrText xml:space="preserve"> PAGEREF _Toc146538119 \h </w:instrText>
        </w:r>
        <w:r w:rsidR="000A0044">
          <w:rPr>
            <w:noProof/>
            <w:webHidden/>
          </w:rPr>
        </w:r>
        <w:r w:rsidR="000A0044">
          <w:rPr>
            <w:noProof/>
            <w:webHidden/>
          </w:rPr>
          <w:fldChar w:fldCharType="separate"/>
        </w:r>
        <w:r w:rsidR="000A0044">
          <w:rPr>
            <w:noProof/>
            <w:webHidden/>
          </w:rPr>
          <w:t>19</w:t>
        </w:r>
        <w:r w:rsidR="000A0044">
          <w:rPr>
            <w:noProof/>
            <w:webHidden/>
          </w:rPr>
          <w:fldChar w:fldCharType="end"/>
        </w:r>
      </w:hyperlink>
    </w:p>
    <w:p w14:paraId="05493FC4" w14:textId="17BB2197" w:rsidR="000A0044" w:rsidRDefault="00947F42">
      <w:pPr>
        <w:pStyle w:val="TOC2"/>
        <w:tabs>
          <w:tab w:val="right" w:leader="dot" w:pos="9288"/>
        </w:tabs>
        <w:rPr>
          <w:rFonts w:asciiTheme="minorHAnsi" w:eastAsiaTheme="minorEastAsia" w:hAnsiTheme="minorHAnsi"/>
          <w:noProof/>
          <w:color w:val="auto"/>
          <w:kern w:val="2"/>
          <w:sz w:val="22"/>
          <w:lang w:eastAsia="en-GB"/>
          <w14:ligatures w14:val="standardContextual"/>
        </w:rPr>
      </w:pPr>
      <w:hyperlink w:anchor="_Toc146538120" w:history="1">
        <w:r w:rsidR="000A0044" w:rsidRPr="00D223B9">
          <w:rPr>
            <w:rStyle w:val="Hyperlink"/>
            <w:noProof/>
          </w:rPr>
          <w:t>Change History</w:t>
        </w:r>
        <w:r w:rsidR="000A0044">
          <w:rPr>
            <w:noProof/>
            <w:webHidden/>
          </w:rPr>
          <w:tab/>
        </w:r>
        <w:r w:rsidR="000A0044">
          <w:rPr>
            <w:noProof/>
            <w:webHidden/>
          </w:rPr>
          <w:fldChar w:fldCharType="begin"/>
        </w:r>
        <w:r w:rsidR="000A0044">
          <w:rPr>
            <w:noProof/>
            <w:webHidden/>
          </w:rPr>
          <w:instrText xml:space="preserve"> PAGEREF _Toc146538120 \h </w:instrText>
        </w:r>
        <w:r w:rsidR="000A0044">
          <w:rPr>
            <w:noProof/>
            <w:webHidden/>
          </w:rPr>
        </w:r>
        <w:r w:rsidR="000A0044">
          <w:rPr>
            <w:noProof/>
            <w:webHidden/>
          </w:rPr>
          <w:fldChar w:fldCharType="separate"/>
        </w:r>
        <w:r w:rsidR="000A0044">
          <w:rPr>
            <w:noProof/>
            <w:webHidden/>
          </w:rPr>
          <w:t>20</w:t>
        </w:r>
        <w:r w:rsidR="000A0044">
          <w:rPr>
            <w:noProof/>
            <w:webHidden/>
          </w:rPr>
          <w:fldChar w:fldCharType="end"/>
        </w:r>
      </w:hyperlink>
    </w:p>
    <w:p w14:paraId="661FE5F1" w14:textId="5E7E949E" w:rsidR="000A0044" w:rsidRDefault="00947F42">
      <w:pPr>
        <w:pStyle w:val="TOC2"/>
        <w:tabs>
          <w:tab w:val="right" w:leader="dot" w:pos="9288"/>
        </w:tabs>
        <w:rPr>
          <w:rFonts w:asciiTheme="minorHAnsi" w:eastAsiaTheme="minorEastAsia" w:hAnsiTheme="minorHAnsi"/>
          <w:noProof/>
          <w:color w:val="auto"/>
          <w:kern w:val="2"/>
          <w:sz w:val="22"/>
          <w:lang w:eastAsia="en-GB"/>
          <w14:ligatures w14:val="standardContextual"/>
        </w:rPr>
      </w:pPr>
      <w:hyperlink w:anchor="_Toc146538121" w:history="1">
        <w:r w:rsidR="000A0044" w:rsidRPr="00D223B9">
          <w:rPr>
            <w:rStyle w:val="Hyperlink"/>
            <w:noProof/>
          </w:rPr>
          <w:t>Summary of Key Changes in October 2023</w:t>
        </w:r>
        <w:r w:rsidR="000A0044">
          <w:rPr>
            <w:noProof/>
            <w:webHidden/>
          </w:rPr>
          <w:tab/>
        </w:r>
        <w:r w:rsidR="000A0044">
          <w:rPr>
            <w:noProof/>
            <w:webHidden/>
          </w:rPr>
          <w:fldChar w:fldCharType="begin"/>
        </w:r>
        <w:r w:rsidR="000A0044">
          <w:rPr>
            <w:noProof/>
            <w:webHidden/>
          </w:rPr>
          <w:instrText xml:space="preserve"> PAGEREF _Toc146538121 \h </w:instrText>
        </w:r>
        <w:r w:rsidR="000A0044">
          <w:rPr>
            <w:noProof/>
            <w:webHidden/>
          </w:rPr>
        </w:r>
        <w:r w:rsidR="000A0044">
          <w:rPr>
            <w:noProof/>
            <w:webHidden/>
          </w:rPr>
          <w:fldChar w:fldCharType="separate"/>
        </w:r>
        <w:r w:rsidR="000A0044">
          <w:rPr>
            <w:noProof/>
            <w:webHidden/>
          </w:rPr>
          <w:t>20</w:t>
        </w:r>
        <w:r w:rsidR="000A0044">
          <w:rPr>
            <w:noProof/>
            <w:webHidden/>
          </w:rPr>
          <w:fldChar w:fldCharType="end"/>
        </w:r>
      </w:hyperlink>
    </w:p>
    <w:p w14:paraId="70C5410A" w14:textId="42C4E904" w:rsidR="000A0044" w:rsidRDefault="00947F42">
      <w:pPr>
        <w:pStyle w:val="TOC2"/>
        <w:tabs>
          <w:tab w:val="right" w:leader="dot" w:pos="9288"/>
        </w:tabs>
        <w:rPr>
          <w:rFonts w:asciiTheme="minorHAnsi" w:eastAsiaTheme="minorEastAsia" w:hAnsiTheme="minorHAnsi"/>
          <w:noProof/>
          <w:color w:val="auto"/>
          <w:kern w:val="2"/>
          <w:sz w:val="22"/>
          <w:lang w:eastAsia="en-GB"/>
          <w14:ligatures w14:val="standardContextual"/>
        </w:rPr>
      </w:pPr>
      <w:hyperlink w:anchor="_Toc146538122" w:history="1">
        <w:r w:rsidR="000A0044" w:rsidRPr="00D223B9">
          <w:rPr>
            <w:rStyle w:val="Hyperlink"/>
            <w:noProof/>
          </w:rPr>
          <w:t>Summary of Key Changes in May 2022</w:t>
        </w:r>
        <w:r w:rsidR="000A0044">
          <w:rPr>
            <w:noProof/>
            <w:webHidden/>
          </w:rPr>
          <w:tab/>
        </w:r>
        <w:r w:rsidR="000A0044">
          <w:rPr>
            <w:noProof/>
            <w:webHidden/>
          </w:rPr>
          <w:fldChar w:fldCharType="begin"/>
        </w:r>
        <w:r w:rsidR="000A0044">
          <w:rPr>
            <w:noProof/>
            <w:webHidden/>
          </w:rPr>
          <w:instrText xml:space="preserve"> PAGEREF _Toc146538122 \h </w:instrText>
        </w:r>
        <w:r w:rsidR="000A0044">
          <w:rPr>
            <w:noProof/>
            <w:webHidden/>
          </w:rPr>
        </w:r>
        <w:r w:rsidR="000A0044">
          <w:rPr>
            <w:noProof/>
            <w:webHidden/>
          </w:rPr>
          <w:fldChar w:fldCharType="separate"/>
        </w:r>
        <w:r w:rsidR="000A0044">
          <w:rPr>
            <w:noProof/>
            <w:webHidden/>
          </w:rPr>
          <w:t>21</w:t>
        </w:r>
        <w:r w:rsidR="000A0044">
          <w:rPr>
            <w:noProof/>
            <w:webHidden/>
          </w:rPr>
          <w:fldChar w:fldCharType="end"/>
        </w:r>
      </w:hyperlink>
    </w:p>
    <w:p w14:paraId="5A5D0B73" w14:textId="61E21868" w:rsidR="000A0044" w:rsidRDefault="00947F42">
      <w:pPr>
        <w:pStyle w:val="TOC2"/>
        <w:tabs>
          <w:tab w:val="right" w:leader="dot" w:pos="9288"/>
        </w:tabs>
        <w:rPr>
          <w:rFonts w:asciiTheme="minorHAnsi" w:eastAsiaTheme="minorEastAsia" w:hAnsiTheme="minorHAnsi"/>
          <w:noProof/>
          <w:color w:val="auto"/>
          <w:kern w:val="2"/>
          <w:sz w:val="22"/>
          <w:lang w:eastAsia="en-GB"/>
          <w14:ligatures w14:val="standardContextual"/>
        </w:rPr>
      </w:pPr>
      <w:hyperlink w:anchor="_Toc146538123" w:history="1">
        <w:r w:rsidR="000A0044" w:rsidRPr="00D223B9">
          <w:rPr>
            <w:rStyle w:val="Hyperlink"/>
            <w:noProof/>
          </w:rPr>
          <w:t>Summary of Key Changes in January 2021</w:t>
        </w:r>
        <w:r w:rsidR="000A0044">
          <w:rPr>
            <w:noProof/>
            <w:webHidden/>
          </w:rPr>
          <w:tab/>
        </w:r>
        <w:r w:rsidR="000A0044">
          <w:rPr>
            <w:noProof/>
            <w:webHidden/>
          </w:rPr>
          <w:fldChar w:fldCharType="begin"/>
        </w:r>
        <w:r w:rsidR="000A0044">
          <w:rPr>
            <w:noProof/>
            <w:webHidden/>
          </w:rPr>
          <w:instrText xml:space="preserve"> PAGEREF _Toc146538123 \h </w:instrText>
        </w:r>
        <w:r w:rsidR="000A0044">
          <w:rPr>
            <w:noProof/>
            <w:webHidden/>
          </w:rPr>
        </w:r>
        <w:r w:rsidR="000A0044">
          <w:rPr>
            <w:noProof/>
            <w:webHidden/>
          </w:rPr>
          <w:fldChar w:fldCharType="separate"/>
        </w:r>
        <w:r w:rsidR="000A0044">
          <w:rPr>
            <w:noProof/>
            <w:webHidden/>
          </w:rPr>
          <w:t>23</w:t>
        </w:r>
        <w:r w:rsidR="000A0044">
          <w:rPr>
            <w:noProof/>
            <w:webHidden/>
          </w:rPr>
          <w:fldChar w:fldCharType="end"/>
        </w:r>
      </w:hyperlink>
    </w:p>
    <w:p w14:paraId="236BAA13" w14:textId="3E8D2D7E" w:rsidR="00353181" w:rsidRDefault="004451CE" w:rsidP="004451CE">
      <w:r>
        <w:fldChar w:fldCharType="end"/>
      </w:r>
    </w:p>
    <w:p w14:paraId="7AABF318" w14:textId="77777777" w:rsidR="00A2222D" w:rsidRPr="00353181" w:rsidRDefault="00A2222D" w:rsidP="00353181"/>
    <w:p w14:paraId="6C10D38B" w14:textId="77777777" w:rsidR="007C1840" w:rsidRDefault="007C1840">
      <w:pPr>
        <w:tabs>
          <w:tab w:val="clear" w:pos="567"/>
          <w:tab w:val="clear" w:pos="1418"/>
          <w:tab w:val="clear" w:pos="1843"/>
        </w:tabs>
        <w:spacing w:after="160" w:line="259" w:lineRule="auto"/>
        <w:rPr>
          <w:rFonts w:eastAsiaTheme="majorEastAsia" w:cstheme="majorBidi"/>
          <w:b/>
          <w:color w:val="003087"/>
          <w:sz w:val="32"/>
          <w:szCs w:val="26"/>
        </w:rPr>
      </w:pPr>
      <w:r>
        <w:br w:type="page"/>
      </w:r>
    </w:p>
    <w:p w14:paraId="5C97575C" w14:textId="77777777" w:rsidR="000E3576" w:rsidRPr="00D40B0D" w:rsidRDefault="000E3576" w:rsidP="000E3576">
      <w:pPr>
        <w:pStyle w:val="Heading2"/>
        <w:numPr>
          <w:ilvl w:val="0"/>
          <w:numId w:val="0"/>
        </w:numPr>
      </w:pPr>
      <w:bookmarkStart w:id="0" w:name="_Toc146538113"/>
      <w:r w:rsidRPr="00D40B0D">
        <w:lastRenderedPageBreak/>
        <w:t>Introduction</w:t>
      </w:r>
      <w:bookmarkEnd w:id="0"/>
    </w:p>
    <w:p w14:paraId="556E90D2" w14:textId="22B2D55A" w:rsidR="000E3576" w:rsidRPr="00D40B0D" w:rsidRDefault="451A2AFD" w:rsidP="00DB2D00">
      <w:r>
        <w:t xml:space="preserve">The first model </w:t>
      </w:r>
      <w:r w:rsidR="6AC211CB">
        <w:t>C</w:t>
      </w:r>
      <w:r>
        <w:t xml:space="preserve">linical </w:t>
      </w:r>
      <w:r w:rsidR="6AC211CB">
        <w:t>T</w:t>
      </w:r>
      <w:r>
        <w:t xml:space="preserve">rial </w:t>
      </w:r>
      <w:r w:rsidR="6AC211CB">
        <w:t>A</w:t>
      </w:r>
      <w:r>
        <w:t>greement (</w:t>
      </w:r>
      <w:proofErr w:type="spellStart"/>
      <w:r>
        <w:t>mCTA</w:t>
      </w:r>
      <w:proofErr w:type="spellEnd"/>
      <w:r>
        <w:t>) for pharmaceutical research was drawn up and published by the Department of Health</w:t>
      </w:r>
      <w:r w:rsidR="5F2A8F80">
        <w:t xml:space="preserve"> </w:t>
      </w:r>
      <w:r w:rsidR="096C4104">
        <w:t>and</w:t>
      </w:r>
      <w:r w:rsidR="5F2A8F80">
        <w:t xml:space="preserve"> Social Care</w:t>
      </w:r>
      <w:r w:rsidR="51329ECA">
        <w:t xml:space="preserve"> (DHSC)</w:t>
      </w:r>
      <w:r>
        <w:t xml:space="preserve"> and </w:t>
      </w:r>
      <w:r w:rsidR="5DDFBE5F" w:rsidRPr="2DD4E0EC">
        <w:rPr>
          <w:lang w:eastAsia="en-GB"/>
        </w:rPr>
        <w:t xml:space="preserve">The Association of the British Pharmaceutical Industry (ABPI) </w:t>
      </w:r>
      <w:r>
        <w:t>in 2003, with the intention that a template agreement would make the contracting process more straightforward and efficient.</w:t>
      </w:r>
      <w:r w:rsidR="262F7D60">
        <w:t xml:space="preserve"> The first </w:t>
      </w:r>
      <w:r w:rsidR="6C835B14">
        <w:t xml:space="preserve">Clinical Research Organisation </w:t>
      </w:r>
      <w:proofErr w:type="gramStart"/>
      <w:r w:rsidR="6C835B14">
        <w:t>model</w:t>
      </w:r>
      <w:proofErr w:type="gramEnd"/>
      <w:r w:rsidR="6C835B14">
        <w:t xml:space="preserve"> Clinical Trial Agreement (</w:t>
      </w:r>
      <w:r w:rsidR="262F7D60">
        <w:t>CRO-</w:t>
      </w:r>
      <w:proofErr w:type="spellStart"/>
      <w:r w:rsidR="262F7D60">
        <w:t>mCTA</w:t>
      </w:r>
      <w:proofErr w:type="spellEnd"/>
      <w:r w:rsidR="6C835B14">
        <w:t>)</w:t>
      </w:r>
      <w:r w:rsidR="262F7D60">
        <w:t xml:space="preserve"> was pu</w:t>
      </w:r>
      <w:r w:rsidR="6C835B14">
        <w:t>blished in 2007.</w:t>
      </w:r>
    </w:p>
    <w:p w14:paraId="338D711E" w14:textId="20519E80" w:rsidR="000E3576" w:rsidRPr="00D40B0D" w:rsidRDefault="000E3576" w:rsidP="00DB2D00">
      <w:r w:rsidRPr="00D40B0D">
        <w:t xml:space="preserve">Since 2003, the </w:t>
      </w:r>
      <w:proofErr w:type="spellStart"/>
      <w:r w:rsidRPr="00D40B0D">
        <w:t>mCTA</w:t>
      </w:r>
      <w:r w:rsidR="007155BC">
        <w:t>s</w:t>
      </w:r>
      <w:proofErr w:type="spellEnd"/>
      <w:r w:rsidRPr="00D40B0D">
        <w:t xml:space="preserve"> ha</w:t>
      </w:r>
      <w:r w:rsidR="007155BC">
        <w:t>ve</w:t>
      </w:r>
      <w:r w:rsidRPr="00D40B0D">
        <w:t xml:space="preserve"> been refined and developed to take account of a changing regulatory regime and clinical trial environment.</w:t>
      </w:r>
      <w:r w:rsidR="006A6742">
        <w:t xml:space="preserve"> </w:t>
      </w:r>
      <w:r w:rsidR="007155BC">
        <w:t xml:space="preserve">The </w:t>
      </w:r>
      <w:proofErr w:type="spellStart"/>
      <w:r w:rsidR="007155BC">
        <w:t>mCTAs</w:t>
      </w:r>
      <w:proofErr w:type="spellEnd"/>
      <w:r w:rsidR="007155BC">
        <w:t xml:space="preserve"> are</w:t>
      </w:r>
      <w:r w:rsidR="003F6E7A">
        <w:t xml:space="preserve"> </w:t>
      </w:r>
      <w:r w:rsidR="002A0D98">
        <w:t>for use with NHS</w:t>
      </w:r>
      <w:r w:rsidR="00BA1C46">
        <w:rPr>
          <w:rStyle w:val="FootnoteReference"/>
        </w:rPr>
        <w:footnoteReference w:id="2"/>
      </w:r>
      <w:r w:rsidR="003F6E7A">
        <w:t xml:space="preserve"> </w:t>
      </w:r>
      <w:r w:rsidR="00A250FC">
        <w:t>organisations</w:t>
      </w:r>
      <w:r w:rsidR="003F6E7A">
        <w:t xml:space="preserve"> across all four UK nations.</w:t>
      </w:r>
      <w:r w:rsidRPr="00D40B0D">
        <w:t xml:space="preserve"> </w:t>
      </w:r>
      <w:r w:rsidR="00437D5B">
        <w:t xml:space="preserve">Detailed </w:t>
      </w:r>
      <w:r w:rsidRPr="00D40B0D">
        <w:t xml:space="preserve">information about the development of the </w:t>
      </w:r>
      <w:proofErr w:type="spellStart"/>
      <w:r w:rsidRPr="00D40B0D">
        <w:t>mCTAs</w:t>
      </w:r>
      <w:proofErr w:type="spellEnd"/>
      <w:r w:rsidRPr="00D40B0D">
        <w:t xml:space="preserve"> is provided </w:t>
      </w:r>
      <w:r w:rsidR="00437D5B">
        <w:t xml:space="preserve">in </w:t>
      </w:r>
      <w:hyperlink w:anchor="_Section_3:_Background" w:history="1">
        <w:r w:rsidR="00437D5B" w:rsidRPr="00437D5B">
          <w:rPr>
            <w:rStyle w:val="Hyperlink"/>
          </w:rPr>
          <w:t>Section 3</w:t>
        </w:r>
      </w:hyperlink>
      <w:r w:rsidRPr="00D40B0D">
        <w:t>.</w:t>
      </w:r>
    </w:p>
    <w:p w14:paraId="368591EA" w14:textId="613E7273" w:rsidR="000E3576" w:rsidRPr="00D40B0D" w:rsidRDefault="000E3576" w:rsidP="00DB2D00">
      <w:r w:rsidRPr="00D40B0D">
        <w:t xml:space="preserve">The </w:t>
      </w:r>
      <w:proofErr w:type="spellStart"/>
      <w:r w:rsidRPr="00D40B0D">
        <w:t>mCTAs</w:t>
      </w:r>
      <w:proofErr w:type="spellEnd"/>
      <w:r w:rsidRPr="00D40B0D">
        <w:t xml:space="preserve"> have been developed through consultations between the various stakeholder groups, including representatives from the </w:t>
      </w:r>
      <w:r w:rsidR="00335401">
        <w:t>DHSC</w:t>
      </w:r>
      <w:r w:rsidRPr="00D40B0D">
        <w:t>, the Health Research Authority, the National Institute for Health</w:t>
      </w:r>
      <w:r w:rsidR="00335401">
        <w:t xml:space="preserve"> and Care</w:t>
      </w:r>
      <w:r w:rsidRPr="00D40B0D">
        <w:t xml:space="preserve"> Research, the Medical Research Council, the Devolved Administrations, the NHS, life sciences trade associations and national and global heads of research from bio</w:t>
      </w:r>
      <w:r w:rsidR="003204C7">
        <w:t>-</w:t>
      </w:r>
      <w:r w:rsidRPr="00D40B0D">
        <w:t>pharmaceutical companies and clinical research organisations.</w:t>
      </w:r>
    </w:p>
    <w:p w14:paraId="30ADA37B" w14:textId="72A88166" w:rsidR="000E3576" w:rsidRPr="00D40B0D" w:rsidRDefault="000E3576" w:rsidP="00DB2D00">
      <w:r w:rsidRPr="00D40B0D">
        <w:t xml:space="preserve">The </w:t>
      </w:r>
      <w:proofErr w:type="spellStart"/>
      <w:r w:rsidRPr="00D40B0D">
        <w:t>mCTAs</w:t>
      </w:r>
      <w:proofErr w:type="spellEnd"/>
      <w:r w:rsidRPr="00D40B0D">
        <w:t xml:space="preserve"> have been devised to meet the needs of the companies </w:t>
      </w:r>
      <w:r w:rsidR="001D09C8">
        <w:t>Sponsor</w:t>
      </w:r>
      <w:r w:rsidRPr="00D40B0D">
        <w:t xml:space="preserve">ing clinical trials and clinical research organisations managing sites and to reflect the duty of care that </w:t>
      </w:r>
      <w:r w:rsidR="00601325">
        <w:t>Trial Sites</w:t>
      </w:r>
      <w:r w:rsidRPr="00D40B0D">
        <w:t xml:space="preserve"> have for their patients</w:t>
      </w:r>
      <w:r w:rsidR="008F4EE3">
        <w:t xml:space="preserve"> and other research participants under their care</w:t>
      </w:r>
      <w:r w:rsidRPr="00D40B0D">
        <w:t>.</w:t>
      </w:r>
    </w:p>
    <w:p w14:paraId="20642EA8" w14:textId="132BB43A" w:rsidR="000E3576" w:rsidRPr="00D40B0D" w:rsidRDefault="000E3576" w:rsidP="00DB2D00">
      <w:r w:rsidRPr="00D40B0D">
        <w:t xml:space="preserve">This guidance </w:t>
      </w:r>
      <w:proofErr w:type="gramStart"/>
      <w:r w:rsidRPr="00D40B0D">
        <w:t>provides an introduction to</w:t>
      </w:r>
      <w:proofErr w:type="gramEnd"/>
      <w:r w:rsidRPr="00D40B0D">
        <w:t xml:space="preserve"> the </w:t>
      </w:r>
      <w:proofErr w:type="spellStart"/>
      <w:r w:rsidRPr="00D40B0D">
        <w:t>mCTAs</w:t>
      </w:r>
      <w:proofErr w:type="spellEnd"/>
      <w:r w:rsidRPr="00D40B0D">
        <w:t xml:space="preserve">, outlining when and how they should be used, </w:t>
      </w:r>
      <w:r w:rsidR="00756D69" w:rsidRPr="00D40B0D">
        <w:t>summarising some of their key provisions</w:t>
      </w:r>
      <w:r w:rsidR="00756D69">
        <w:t>,</w:t>
      </w:r>
      <w:r w:rsidR="00756D69" w:rsidRPr="00D40B0D">
        <w:t xml:space="preserve"> </w:t>
      </w:r>
      <w:r w:rsidRPr="00D40B0D">
        <w:t>as well as providing an overview of the change</w:t>
      </w:r>
      <w:r w:rsidR="003F4A0E">
        <w:t xml:space="preserve"> history of </w:t>
      </w:r>
      <w:r w:rsidRPr="00D40B0D">
        <w:t xml:space="preserve">the </w:t>
      </w:r>
      <w:proofErr w:type="spellStart"/>
      <w:r w:rsidRPr="00D40B0D">
        <w:t>mCTAs</w:t>
      </w:r>
      <w:proofErr w:type="spellEnd"/>
      <w:r w:rsidRPr="00D40B0D">
        <w:t>.</w:t>
      </w:r>
    </w:p>
    <w:p w14:paraId="0924A33A" w14:textId="5991815B" w:rsidR="00B37492" w:rsidRPr="007145AE" w:rsidRDefault="00B37492" w:rsidP="004E7AE8">
      <w:pPr>
        <w:pStyle w:val="Heading2"/>
        <w:numPr>
          <w:ilvl w:val="0"/>
          <w:numId w:val="0"/>
        </w:numPr>
      </w:pPr>
      <w:bookmarkStart w:id="1" w:name="_Toc146538114"/>
      <w:r w:rsidRPr="007145AE">
        <w:t>Structure of the Guidance</w:t>
      </w:r>
      <w:bookmarkEnd w:id="1"/>
    </w:p>
    <w:p w14:paraId="76613573" w14:textId="2DB3A1A1" w:rsidR="00B37492" w:rsidRPr="007145AE" w:rsidRDefault="00B37492" w:rsidP="00A20F7E">
      <w:r w:rsidRPr="007145AE">
        <w:t xml:space="preserve">This guidance is in </w:t>
      </w:r>
      <w:r w:rsidR="009F27F8">
        <w:t>three</w:t>
      </w:r>
      <w:r w:rsidRPr="007145AE">
        <w:t xml:space="preserve"> parts</w:t>
      </w:r>
      <w:r>
        <w:t>:</w:t>
      </w:r>
    </w:p>
    <w:p w14:paraId="56A2124A" w14:textId="3A1C37C7" w:rsidR="00B37492" w:rsidRDefault="00B37492" w:rsidP="00EF50C6">
      <w:pPr>
        <w:pStyle w:val="Normalnos"/>
        <w:numPr>
          <w:ilvl w:val="0"/>
          <w:numId w:val="23"/>
        </w:numPr>
      </w:pPr>
      <w:r w:rsidRPr="007145AE">
        <w:t xml:space="preserve">Section 1 provides an overview of how the </w:t>
      </w:r>
      <w:proofErr w:type="spellStart"/>
      <w:r w:rsidRPr="007145AE">
        <w:t>mCTAs</w:t>
      </w:r>
      <w:proofErr w:type="spellEnd"/>
      <w:r w:rsidRPr="007145AE">
        <w:t xml:space="preserve"> should be used.</w:t>
      </w:r>
    </w:p>
    <w:p w14:paraId="679494FF" w14:textId="5F4C656B" w:rsidR="00B37492" w:rsidRDefault="00B37492" w:rsidP="00EF50C6">
      <w:pPr>
        <w:pStyle w:val="Normalnos"/>
        <w:numPr>
          <w:ilvl w:val="0"/>
          <w:numId w:val="23"/>
        </w:numPr>
      </w:pPr>
      <w:r w:rsidRPr="007145AE">
        <w:t xml:space="preserve">Section 2 is an overview of some of the provisions within the </w:t>
      </w:r>
      <w:proofErr w:type="spellStart"/>
      <w:r w:rsidRPr="007145AE">
        <w:t>mCTAs</w:t>
      </w:r>
      <w:proofErr w:type="spellEnd"/>
      <w:r w:rsidRPr="007145AE">
        <w:t>.</w:t>
      </w:r>
    </w:p>
    <w:p w14:paraId="10DBA219" w14:textId="28AC0A24" w:rsidR="009F27F8" w:rsidRPr="007145AE" w:rsidRDefault="009F27F8" w:rsidP="00EF50C6">
      <w:pPr>
        <w:pStyle w:val="Normalnos"/>
        <w:numPr>
          <w:ilvl w:val="0"/>
          <w:numId w:val="23"/>
        </w:numPr>
      </w:pPr>
      <w:r>
        <w:t xml:space="preserve">Section 3 provides background on the development of the </w:t>
      </w:r>
      <w:proofErr w:type="spellStart"/>
      <w:r>
        <w:t>mCTAs</w:t>
      </w:r>
      <w:proofErr w:type="spellEnd"/>
      <w:r>
        <w:t>, including a change history.</w:t>
      </w:r>
    </w:p>
    <w:p w14:paraId="1ED53556" w14:textId="25F763A8" w:rsidR="00065D8A" w:rsidRDefault="00B37492" w:rsidP="00A20F7E">
      <w:pPr>
        <w:pStyle w:val="Heading2"/>
        <w:numPr>
          <w:ilvl w:val="0"/>
          <w:numId w:val="0"/>
        </w:numPr>
      </w:pPr>
      <w:bookmarkStart w:id="2" w:name="_Toc146538115"/>
      <w:r w:rsidRPr="00A20F7E">
        <w:t>Section</w:t>
      </w:r>
      <w:r w:rsidRPr="007145AE">
        <w:t xml:space="preserve"> 1</w:t>
      </w:r>
      <w:r>
        <w:t>:</w:t>
      </w:r>
      <w:r w:rsidRPr="007145AE">
        <w:t xml:space="preserve"> Use of the </w:t>
      </w:r>
      <w:proofErr w:type="spellStart"/>
      <w:r w:rsidRPr="007145AE">
        <w:t>mCTAs</w:t>
      </w:r>
      <w:bookmarkEnd w:id="2"/>
      <w:proofErr w:type="spellEnd"/>
    </w:p>
    <w:p w14:paraId="6B9B7328" w14:textId="17D8A1A5" w:rsidR="00B37492" w:rsidRPr="00B37492" w:rsidRDefault="00B37492" w:rsidP="00B37492">
      <w:pPr>
        <w:pStyle w:val="Clauselevel1"/>
      </w:pPr>
      <w:r w:rsidRPr="00B37492">
        <w:rPr>
          <w:b/>
        </w:rPr>
        <w:t xml:space="preserve">What are the </w:t>
      </w:r>
      <w:proofErr w:type="spellStart"/>
      <w:r w:rsidRPr="00B37492">
        <w:rPr>
          <w:b/>
        </w:rPr>
        <w:t>mCTAs</w:t>
      </w:r>
      <w:proofErr w:type="spellEnd"/>
      <w:r w:rsidRPr="00B37492">
        <w:rPr>
          <w:b/>
        </w:rPr>
        <w:t>?</w:t>
      </w:r>
    </w:p>
    <w:p w14:paraId="00941D10" w14:textId="5372321D" w:rsidR="00B37492" w:rsidRPr="007145AE" w:rsidRDefault="00B37492" w:rsidP="00B37492">
      <w:pPr>
        <w:ind w:left="567"/>
      </w:pPr>
      <w:r w:rsidRPr="007145AE">
        <w:t xml:space="preserve">The </w:t>
      </w:r>
      <w:proofErr w:type="spellStart"/>
      <w:r w:rsidRPr="007145AE">
        <w:t>mCTA</w:t>
      </w:r>
      <w:proofErr w:type="spellEnd"/>
      <w:r w:rsidRPr="007145AE">
        <w:t xml:space="preserve"> is the standard form contract for use by industry </w:t>
      </w:r>
      <w:r w:rsidR="001D09C8">
        <w:t>Sponsors</w:t>
      </w:r>
      <w:r w:rsidRPr="007145AE">
        <w:t xml:space="preserve"> and NHS</w:t>
      </w:r>
      <w:r w:rsidR="00BA7268">
        <w:rPr>
          <w:rStyle w:val="FootnoteReference"/>
        </w:rPr>
        <w:footnoteReference w:id="3"/>
      </w:r>
      <w:r w:rsidR="00CE1CAA">
        <w:t xml:space="preserve"> Trial Sites</w:t>
      </w:r>
      <w:r w:rsidR="00E85B42">
        <w:t xml:space="preserve"> (but see 1.3 below for relationship between the </w:t>
      </w:r>
      <w:proofErr w:type="spellStart"/>
      <w:r w:rsidR="00E85B42">
        <w:t>mCTAs</w:t>
      </w:r>
      <w:proofErr w:type="spellEnd"/>
      <w:r w:rsidR="00E85B42">
        <w:t xml:space="preserve"> and the Hub </w:t>
      </w:r>
      <w:r w:rsidR="00E85B42">
        <w:lastRenderedPageBreak/>
        <w:t>and Spoke Agreements)</w:t>
      </w:r>
      <w:r w:rsidRPr="007145AE">
        <w:t xml:space="preserve"> running contract clinical trials</w:t>
      </w:r>
      <w:r w:rsidR="00A847C8">
        <w:t xml:space="preserve"> of investigational medicinal products (CTIMPs)</w:t>
      </w:r>
      <w:r w:rsidRPr="007145AE">
        <w:t>.</w:t>
      </w:r>
    </w:p>
    <w:p w14:paraId="1AC1E7CE" w14:textId="1D219B3E" w:rsidR="00B37492" w:rsidRPr="007145AE" w:rsidRDefault="00B37492" w:rsidP="00B37492">
      <w:pPr>
        <w:ind w:left="567"/>
      </w:pPr>
      <w:r w:rsidRPr="007145AE">
        <w:t>The CRO-</w:t>
      </w:r>
      <w:proofErr w:type="spellStart"/>
      <w:r w:rsidRPr="007145AE">
        <w:t>mCTA</w:t>
      </w:r>
      <w:proofErr w:type="spellEnd"/>
      <w:r w:rsidRPr="007145AE">
        <w:t xml:space="preserve"> is the standard form contract used by industry </w:t>
      </w:r>
      <w:r w:rsidR="001D09C8">
        <w:t>Sponsors</w:t>
      </w:r>
      <w:r w:rsidRPr="007145AE">
        <w:t>, the clinical research organisation</w:t>
      </w:r>
      <w:r w:rsidR="00ED78E5">
        <w:t>s</w:t>
      </w:r>
      <w:r w:rsidR="00877E03">
        <w:t xml:space="preserve"> (CROs)</w:t>
      </w:r>
      <w:r w:rsidRPr="007145AE">
        <w:t xml:space="preserve"> separately contracted by them to undertake site management responsibilities, and NHS </w:t>
      </w:r>
      <w:r w:rsidR="005B3DE8">
        <w:t xml:space="preserve">Trial Sites (but see 1.3 below for relationship between the </w:t>
      </w:r>
      <w:proofErr w:type="spellStart"/>
      <w:r w:rsidR="005B3DE8">
        <w:t>mCTAs</w:t>
      </w:r>
      <w:proofErr w:type="spellEnd"/>
      <w:r w:rsidR="005B3DE8">
        <w:t xml:space="preserve"> and the Hub and Spoke Agreements)</w:t>
      </w:r>
      <w:r w:rsidR="005B3DE8" w:rsidRPr="007145AE">
        <w:t xml:space="preserve"> </w:t>
      </w:r>
      <w:r w:rsidRPr="007145AE">
        <w:t xml:space="preserve">running contract </w:t>
      </w:r>
      <w:r w:rsidR="00A847C8">
        <w:t>CTIMPs</w:t>
      </w:r>
      <w:r w:rsidRPr="007145AE">
        <w:t>.</w:t>
      </w:r>
    </w:p>
    <w:p w14:paraId="75ACC8DC" w14:textId="65C3BB78" w:rsidR="00B37492" w:rsidRPr="007145AE" w:rsidRDefault="00B37492" w:rsidP="00B37492">
      <w:pPr>
        <w:ind w:left="567"/>
      </w:pPr>
      <w:r w:rsidRPr="007145AE">
        <w:t xml:space="preserve">Contract </w:t>
      </w:r>
      <w:r w:rsidR="0070236E">
        <w:t>CTIMPs</w:t>
      </w:r>
      <w:r w:rsidRPr="007145AE">
        <w:t xml:space="preserve"> </w:t>
      </w:r>
      <w:r w:rsidR="00487335">
        <w:t xml:space="preserve">in the NHS </w:t>
      </w:r>
      <w:r w:rsidRPr="007145AE">
        <w:t>are industry</w:t>
      </w:r>
      <w:r w:rsidR="008779CD">
        <w:t xml:space="preserve"> funded and s</w:t>
      </w:r>
      <w:r w:rsidR="001D09C8">
        <w:t>ponsor</w:t>
      </w:r>
      <w:r w:rsidRPr="007145AE">
        <w:t xml:space="preserve">ed </w:t>
      </w:r>
      <w:r w:rsidR="00ED78E5">
        <w:t>CTIMPs</w:t>
      </w:r>
      <w:r w:rsidRPr="007145AE">
        <w:t xml:space="preserve"> in which NHS patients</w:t>
      </w:r>
      <w:r w:rsidR="008B5E10">
        <w:t>, or healthy volunteers under an NHS duty of care,</w:t>
      </w:r>
      <w:r w:rsidRPr="007145AE">
        <w:t xml:space="preserve"> receive Investigational Medicinal Products (“IMPs”).</w:t>
      </w:r>
    </w:p>
    <w:p w14:paraId="77CC357A" w14:textId="78C5691D" w:rsidR="00B37492" w:rsidRPr="007145AE" w:rsidRDefault="00B37492" w:rsidP="00B37492">
      <w:pPr>
        <w:ind w:left="567"/>
      </w:pPr>
      <w:r w:rsidRPr="007145AE">
        <w:t xml:space="preserve">All references in this guidance to “clinical trial” should be read as a reference to a contract </w:t>
      </w:r>
      <w:r w:rsidR="0070236E">
        <w:t>CTIMP</w:t>
      </w:r>
      <w:r w:rsidRPr="007145AE">
        <w:t>.</w:t>
      </w:r>
    </w:p>
    <w:p w14:paraId="1F046810" w14:textId="71FCE6DF" w:rsidR="00B37492" w:rsidRPr="00B37492" w:rsidRDefault="00B37492" w:rsidP="00A20F7E">
      <w:pPr>
        <w:pStyle w:val="Clauselevel1"/>
        <w:keepNext/>
      </w:pPr>
      <w:r w:rsidRPr="00B37492">
        <w:rPr>
          <w:b/>
        </w:rPr>
        <w:t xml:space="preserve">When should the </w:t>
      </w:r>
      <w:proofErr w:type="spellStart"/>
      <w:r w:rsidRPr="00B37492">
        <w:rPr>
          <w:b/>
        </w:rPr>
        <w:t>mCTAs</w:t>
      </w:r>
      <w:proofErr w:type="spellEnd"/>
      <w:r w:rsidRPr="00B37492">
        <w:rPr>
          <w:b/>
        </w:rPr>
        <w:t xml:space="preserve"> be used?</w:t>
      </w:r>
    </w:p>
    <w:p w14:paraId="7DAED28E" w14:textId="6AD341BE" w:rsidR="00B37492" w:rsidRPr="007145AE" w:rsidRDefault="00B37492" w:rsidP="00B37492">
      <w:pPr>
        <w:ind w:left="567"/>
      </w:pPr>
      <w:r w:rsidRPr="007145AE">
        <w:t xml:space="preserve">The </w:t>
      </w:r>
      <w:proofErr w:type="spellStart"/>
      <w:r w:rsidRPr="007145AE">
        <w:t>mCTA</w:t>
      </w:r>
      <w:proofErr w:type="spellEnd"/>
      <w:r w:rsidRPr="007145AE">
        <w:t xml:space="preserve"> is intended to be used for all phases of contract clinical trials, including Phase I trials</w:t>
      </w:r>
      <w:r w:rsidR="00F13E1F">
        <w:t xml:space="preserve"> </w:t>
      </w:r>
      <w:r w:rsidRPr="007145AE">
        <w:t xml:space="preserve">in </w:t>
      </w:r>
      <w:r w:rsidR="00816F28">
        <w:t xml:space="preserve">NHS patients or </w:t>
      </w:r>
      <w:r w:rsidRPr="007145AE">
        <w:t>healthy volunteers</w:t>
      </w:r>
      <w:r w:rsidR="0066405B">
        <w:t xml:space="preserve"> under an NHS duty of care</w:t>
      </w:r>
      <w:r w:rsidRPr="007145AE">
        <w:t>.</w:t>
      </w:r>
    </w:p>
    <w:p w14:paraId="79F749D1" w14:textId="09E745EC" w:rsidR="00B37492" w:rsidRDefault="00B37492" w:rsidP="00B37492">
      <w:pPr>
        <w:ind w:left="567"/>
      </w:pPr>
      <w:r w:rsidRPr="007145AE">
        <w:t>The CRO-</w:t>
      </w:r>
      <w:proofErr w:type="spellStart"/>
      <w:r w:rsidRPr="007145AE">
        <w:t>mCTA</w:t>
      </w:r>
      <w:proofErr w:type="spellEnd"/>
      <w:r w:rsidRPr="007145AE">
        <w:t xml:space="preserve"> is intended to be used as above but where, in addition, the </w:t>
      </w:r>
      <w:r w:rsidR="001D09C8">
        <w:t>Sponsor</w:t>
      </w:r>
      <w:r w:rsidRPr="007145AE">
        <w:t xml:space="preserve"> has contracted with a clinical research organisation to be responsible for aspects of trial management at </w:t>
      </w:r>
      <w:r w:rsidR="00E44369">
        <w:t xml:space="preserve">the </w:t>
      </w:r>
      <w:r w:rsidR="00E433F4">
        <w:t>T</w:t>
      </w:r>
      <w:r w:rsidR="00E44369">
        <w:t xml:space="preserve">rial </w:t>
      </w:r>
      <w:r w:rsidR="00E433F4">
        <w:t>S</w:t>
      </w:r>
      <w:r w:rsidRPr="007145AE">
        <w:t xml:space="preserve">ite. </w:t>
      </w:r>
      <w:r w:rsidR="007D4B8E">
        <w:t>In such a circumstance the Sponsor and CRO may elect to use CRO-</w:t>
      </w:r>
      <w:proofErr w:type="spellStart"/>
      <w:r w:rsidR="007D4B8E">
        <w:t>mCTA</w:t>
      </w:r>
      <w:proofErr w:type="spellEnd"/>
      <w:r w:rsidR="007D4B8E">
        <w:t xml:space="preserve">, or the Sponsor may elect to use </w:t>
      </w:r>
      <w:proofErr w:type="spellStart"/>
      <w:r w:rsidR="007D4B8E">
        <w:t>mCTA</w:t>
      </w:r>
      <w:proofErr w:type="spellEnd"/>
      <w:r w:rsidR="007D4B8E">
        <w:t xml:space="preserve"> (taking responsibility for</w:t>
      </w:r>
      <w:r w:rsidR="00592815">
        <w:t xml:space="preserve"> the actions of its CRO and for passing down to its contractual responsibilities, as applicable).  </w:t>
      </w:r>
      <w:r w:rsidRPr="007145AE">
        <w:t>Where the CRO-</w:t>
      </w:r>
      <w:proofErr w:type="spellStart"/>
      <w:r w:rsidRPr="007145AE">
        <w:t>mCTA</w:t>
      </w:r>
      <w:proofErr w:type="spellEnd"/>
      <w:r w:rsidRPr="007145AE">
        <w:t xml:space="preserve"> is used, it forms a tri-partite agreement between the </w:t>
      </w:r>
      <w:r w:rsidR="001D09C8">
        <w:t>Sponsor</w:t>
      </w:r>
      <w:r w:rsidRPr="007145AE">
        <w:t xml:space="preserve">, CRO and </w:t>
      </w:r>
      <w:r w:rsidR="00E433F4">
        <w:t>Trial Site</w:t>
      </w:r>
      <w:r w:rsidRPr="007145AE">
        <w:t>.</w:t>
      </w:r>
    </w:p>
    <w:p w14:paraId="16917037" w14:textId="7413230E" w:rsidR="00D80108" w:rsidRPr="007145AE" w:rsidRDefault="00D80108" w:rsidP="00B37492">
      <w:pPr>
        <w:ind w:left="567"/>
      </w:pPr>
      <w:r>
        <w:t xml:space="preserve">The </w:t>
      </w:r>
      <w:proofErr w:type="spellStart"/>
      <w:r>
        <w:t>mCTAs</w:t>
      </w:r>
      <w:proofErr w:type="spellEnd"/>
      <w:r>
        <w:t xml:space="preserve"> should be used with NHS Trial Sites undertaking research activities overseen by a Principal Investigator at that Trial Site.</w:t>
      </w:r>
      <w:r w:rsidR="00C26E9D">
        <w:t xml:space="preserve"> </w:t>
      </w:r>
      <w:r>
        <w:t xml:space="preserve">Where </w:t>
      </w:r>
      <w:r w:rsidR="001978FC">
        <w:t xml:space="preserve">a Principal Investigator oversees research activity at multiple Trial Sites, the relevant </w:t>
      </w:r>
      <w:proofErr w:type="spellStart"/>
      <w:r w:rsidR="001978FC">
        <w:t>mCTA</w:t>
      </w:r>
      <w:proofErr w:type="spellEnd"/>
      <w:r w:rsidR="001978FC">
        <w:t xml:space="preserve"> should be used to contract the Lead Trial Site, with </w:t>
      </w:r>
      <w:proofErr w:type="gramStart"/>
      <w:r w:rsidR="001978FC">
        <w:t>Other</w:t>
      </w:r>
      <w:proofErr w:type="gramEnd"/>
      <w:r w:rsidR="001978FC">
        <w:t xml:space="preserve"> </w:t>
      </w:r>
      <w:r w:rsidR="00C26E9D">
        <w:t>t</w:t>
      </w:r>
      <w:r w:rsidR="001978FC">
        <w:t xml:space="preserve">rial </w:t>
      </w:r>
      <w:r w:rsidR="00C26E9D">
        <w:t>s</w:t>
      </w:r>
      <w:r w:rsidR="001978FC">
        <w:t>ites subcontracted by Hub and Spoke Agreements (see 1.3 below).</w:t>
      </w:r>
    </w:p>
    <w:p w14:paraId="1ED7D329" w14:textId="46E11314" w:rsidR="00B37492" w:rsidRPr="007145AE" w:rsidRDefault="00B37492" w:rsidP="00B37492">
      <w:pPr>
        <w:ind w:left="567"/>
      </w:pPr>
      <w:r w:rsidRPr="007145AE">
        <w:t xml:space="preserve">The </w:t>
      </w:r>
      <w:proofErr w:type="spellStart"/>
      <w:r w:rsidRPr="007145AE">
        <w:t>mCTAs</w:t>
      </w:r>
      <w:proofErr w:type="spellEnd"/>
      <w:r w:rsidRPr="007145AE">
        <w:t xml:space="preserve"> are not for use in non-commercial studies funded or </w:t>
      </w:r>
      <w:r w:rsidR="005C57A0">
        <w:t>s</w:t>
      </w:r>
      <w:r w:rsidR="001D09C8">
        <w:t>ponsor</w:t>
      </w:r>
      <w:r w:rsidRPr="007145AE">
        <w:t xml:space="preserve">ed by charities, government departments or </w:t>
      </w:r>
      <w:r w:rsidR="005C57A0">
        <w:t>r</w:t>
      </w:r>
      <w:r w:rsidRPr="007145AE">
        <w:t xml:space="preserve">esearch </w:t>
      </w:r>
      <w:r w:rsidR="005C57A0">
        <w:t>c</w:t>
      </w:r>
      <w:r w:rsidRPr="007145AE">
        <w:t xml:space="preserve">ouncils, </w:t>
      </w:r>
      <w:proofErr w:type="gramStart"/>
      <w:r w:rsidRPr="007145AE">
        <w:t>whether or not</w:t>
      </w:r>
      <w:proofErr w:type="gramEnd"/>
      <w:r w:rsidRPr="007145AE">
        <w:t xml:space="preserve"> such </w:t>
      </w:r>
      <w:r w:rsidR="003B6DB7">
        <w:t>studies</w:t>
      </w:r>
      <w:r w:rsidRPr="007145AE">
        <w:t xml:space="preserve"> involve NHS patients </w:t>
      </w:r>
      <w:r w:rsidR="00E44369">
        <w:t xml:space="preserve">or healthy volunteers </w:t>
      </w:r>
      <w:r w:rsidRPr="007145AE">
        <w:t>and whether or not they are carried out by NHS organisations. The Model Agreement for Non-Commercial Research in the Health Service (</w:t>
      </w:r>
      <w:proofErr w:type="spellStart"/>
      <w:r>
        <w:fldChar w:fldCharType="begin"/>
      </w:r>
      <w:r>
        <w:instrText>HYPERLINK "https://www.myresearchproject.org.uk/help/hlptemplatesfor.aspx" \l "mNCA"</w:instrText>
      </w:r>
      <w:r>
        <w:fldChar w:fldCharType="separate"/>
      </w:r>
      <w:r w:rsidRPr="007145AE">
        <w:rPr>
          <w:rStyle w:val="Hyperlink"/>
        </w:rPr>
        <w:t>mNCA</w:t>
      </w:r>
      <w:proofErr w:type="spellEnd"/>
      <w:r>
        <w:rPr>
          <w:rStyle w:val="Hyperlink"/>
        </w:rPr>
        <w:fldChar w:fldCharType="end"/>
      </w:r>
      <w:r w:rsidRPr="007145AE">
        <w:t xml:space="preserve">) </w:t>
      </w:r>
      <w:r w:rsidR="003B6DB7">
        <w:t xml:space="preserve">or </w:t>
      </w:r>
      <w:hyperlink r:id="rId11" w:anchor="UK-Local-Information-Pack-OID" w:history="1">
        <w:r w:rsidR="003B6DB7" w:rsidRPr="003B6DB7">
          <w:rPr>
            <w:rStyle w:val="Hyperlink"/>
          </w:rPr>
          <w:t>non-commercial Organisation Information Document</w:t>
        </w:r>
      </w:hyperlink>
      <w:r w:rsidR="003B6DB7">
        <w:t xml:space="preserve"> (as appropriate) </w:t>
      </w:r>
      <w:r w:rsidRPr="007145AE">
        <w:t xml:space="preserve">should be used for </w:t>
      </w:r>
      <w:r w:rsidR="00BA46D7">
        <w:t>non-commercial studies</w:t>
      </w:r>
      <w:r w:rsidRPr="007145AE">
        <w:t>.</w:t>
      </w:r>
    </w:p>
    <w:p w14:paraId="3930A652" w14:textId="0606DDEE" w:rsidR="00B37492" w:rsidRPr="007145AE" w:rsidRDefault="00B37492" w:rsidP="00B37492">
      <w:pPr>
        <w:ind w:left="567"/>
      </w:pPr>
      <w:r w:rsidRPr="007145AE">
        <w:t xml:space="preserve">The </w:t>
      </w:r>
      <w:proofErr w:type="spellStart"/>
      <w:r w:rsidRPr="007145AE">
        <w:t>mCTAs</w:t>
      </w:r>
      <w:proofErr w:type="spellEnd"/>
      <w:r w:rsidRPr="007145AE">
        <w:t xml:space="preserve"> are </w:t>
      </w:r>
      <w:r w:rsidR="009A49AC">
        <w:t xml:space="preserve">for managing site arrangements and are </w:t>
      </w:r>
      <w:r w:rsidRPr="007145AE">
        <w:t xml:space="preserve">not for use </w:t>
      </w:r>
      <w:r w:rsidR="00A47CD0">
        <w:t>to manage the collaboration between</w:t>
      </w:r>
      <w:r w:rsidRPr="007145AE">
        <w:t xml:space="preserve"> organisations in collaborative clinical research trials. </w:t>
      </w:r>
      <w:r w:rsidR="00404E92">
        <w:t xml:space="preserve">NHS, commercial (and, where applicable, academic) collaborations should be </w:t>
      </w:r>
      <w:r w:rsidR="009A49AC">
        <w:t>managed</w:t>
      </w:r>
      <w:r w:rsidR="00766588">
        <w:t xml:space="preserve">, as necessary, via a collaborator agreement and the resultant research studies separately contracted </w:t>
      </w:r>
      <w:r w:rsidR="00B4084F">
        <w:t xml:space="preserve">between sponsor and site using the appropriate UK template (which would </w:t>
      </w:r>
      <w:r w:rsidR="00EF7F3E">
        <w:t xml:space="preserve">be </w:t>
      </w:r>
      <w:r w:rsidR="00412CFA">
        <w:t xml:space="preserve">an </w:t>
      </w:r>
      <w:proofErr w:type="spellStart"/>
      <w:r w:rsidR="00412CFA">
        <w:t>mCTA</w:t>
      </w:r>
      <w:proofErr w:type="spellEnd"/>
      <w:r w:rsidR="00412CFA">
        <w:t xml:space="preserve"> for a commercial CTIMP</w:t>
      </w:r>
      <w:r w:rsidR="000B653E">
        <w:t xml:space="preserve">, the </w:t>
      </w:r>
      <w:proofErr w:type="spellStart"/>
      <w:r w:rsidR="00EF7F3E">
        <w:t>mNCA</w:t>
      </w:r>
      <w:proofErr w:type="spellEnd"/>
      <w:r w:rsidR="00EF7F3E">
        <w:t xml:space="preserve"> or Organisation Information Document, for non-commercial</w:t>
      </w:r>
      <w:r w:rsidR="006F4AFB">
        <w:t>ly sponsored collaborative studies)</w:t>
      </w:r>
      <w:r w:rsidRPr="007145AE">
        <w:t xml:space="preserve">. </w:t>
      </w:r>
    </w:p>
    <w:p w14:paraId="62A18A95" w14:textId="248FF835" w:rsidR="00480F6D" w:rsidRDefault="00480F6D" w:rsidP="00B37492">
      <w:pPr>
        <w:ind w:left="567"/>
      </w:pPr>
      <w:r>
        <w:lastRenderedPageBreak/>
        <w:t xml:space="preserve">The </w:t>
      </w:r>
      <w:proofErr w:type="spellStart"/>
      <w:r>
        <w:t>mCTAs</w:t>
      </w:r>
      <w:proofErr w:type="spellEnd"/>
      <w:r>
        <w:t xml:space="preserve"> are not designed for use with any phase of contract Clinical Trial </w:t>
      </w:r>
      <w:r w:rsidR="007828C4">
        <w:t>of</w:t>
      </w:r>
      <w:r>
        <w:t xml:space="preserve"> advanced therapy </w:t>
      </w:r>
      <w:r w:rsidR="007828C4">
        <w:t>investigational</w:t>
      </w:r>
      <w:r>
        <w:t xml:space="preserve"> medicinal products (AT</w:t>
      </w:r>
      <w:r w:rsidR="00581EFF">
        <w:t>I</w:t>
      </w:r>
      <w:r>
        <w:t>MPs).</w:t>
      </w:r>
    </w:p>
    <w:p w14:paraId="16AE2F41" w14:textId="095A2747" w:rsidR="00B37492" w:rsidRPr="007145AE" w:rsidRDefault="00B37492" w:rsidP="00B37492">
      <w:pPr>
        <w:ind w:left="567"/>
      </w:pPr>
      <w:r w:rsidRPr="007145AE">
        <w:t xml:space="preserve">The </w:t>
      </w:r>
      <w:proofErr w:type="spellStart"/>
      <w:r w:rsidRPr="007145AE">
        <w:t>mCTAs</w:t>
      </w:r>
      <w:proofErr w:type="spellEnd"/>
      <w:r w:rsidRPr="007145AE">
        <w:t xml:space="preserve"> are not designed for the purposes of any Contract Clinical Trials (Phases I to IV) performed by private institutions with patients recruited independent</w:t>
      </w:r>
      <w:r w:rsidR="000B653E">
        <w:t>ly</w:t>
      </w:r>
      <w:r w:rsidRPr="007145AE">
        <w:t xml:space="preserve"> of their treatment within the NHS.</w:t>
      </w:r>
    </w:p>
    <w:p w14:paraId="4272B57F" w14:textId="6B5643F6" w:rsidR="00B37492" w:rsidRPr="007145AE" w:rsidRDefault="00B37492" w:rsidP="00B37492">
      <w:pPr>
        <w:ind w:left="567"/>
      </w:pPr>
      <w:r w:rsidRPr="0042020C">
        <w:t xml:space="preserve">The </w:t>
      </w:r>
      <w:proofErr w:type="spellStart"/>
      <w:r w:rsidRPr="0042020C">
        <w:t>mCTAs</w:t>
      </w:r>
      <w:proofErr w:type="spellEnd"/>
      <w:r w:rsidRPr="0042020C">
        <w:t xml:space="preserve"> are not for use </w:t>
      </w:r>
      <w:r w:rsidR="00EC1FE1">
        <w:t>with independent contractors of NHS</w:t>
      </w:r>
      <w:r w:rsidRPr="0042020C">
        <w:t xml:space="preserve"> primary care </w:t>
      </w:r>
      <w:r w:rsidR="00EC1FE1">
        <w:t>services</w:t>
      </w:r>
      <w:r w:rsidRPr="0042020C">
        <w:t xml:space="preserve">. </w:t>
      </w:r>
      <w:r w:rsidR="00EC1FE1">
        <w:t>Commercial</w:t>
      </w:r>
      <w:r w:rsidRPr="0042020C">
        <w:t xml:space="preserve"> studies </w:t>
      </w:r>
      <w:r w:rsidR="00BA1D35">
        <w:t>with NHS patients in</w:t>
      </w:r>
      <w:r w:rsidR="00EC1FE1">
        <w:t xml:space="preserve"> independent contractor primary care </w:t>
      </w:r>
      <w:r w:rsidRPr="0042020C">
        <w:t>should be contracted using the Primary Care model Clinical Trial Agreement</w:t>
      </w:r>
      <w:r w:rsidR="005C57A0">
        <w:t xml:space="preserve"> (</w:t>
      </w:r>
      <w:hyperlink r:id="rId12" w:anchor="PC-mCTA" w:history="1">
        <w:r w:rsidR="005C57A0" w:rsidRPr="007117E2">
          <w:rPr>
            <w:rStyle w:val="Hyperlink"/>
          </w:rPr>
          <w:t>PC-</w:t>
        </w:r>
        <w:proofErr w:type="spellStart"/>
        <w:r w:rsidR="005C57A0" w:rsidRPr="007117E2">
          <w:rPr>
            <w:rStyle w:val="Hyperlink"/>
          </w:rPr>
          <w:t>mCTA</w:t>
        </w:r>
        <w:proofErr w:type="spellEnd"/>
      </w:hyperlink>
      <w:r w:rsidR="005C57A0">
        <w:t>)</w:t>
      </w:r>
      <w:r w:rsidRPr="0042020C">
        <w:t>.</w:t>
      </w:r>
    </w:p>
    <w:p w14:paraId="45A9AEBD" w14:textId="0561BF47" w:rsidR="00B37492" w:rsidRDefault="00B37492" w:rsidP="00B37492">
      <w:pPr>
        <w:ind w:left="567"/>
      </w:pPr>
      <w:r w:rsidRPr="007145AE">
        <w:t xml:space="preserve">The </w:t>
      </w:r>
      <w:proofErr w:type="spellStart"/>
      <w:r w:rsidRPr="007145AE">
        <w:t>mCTAs</w:t>
      </w:r>
      <w:proofErr w:type="spellEnd"/>
      <w:r w:rsidRPr="007145AE">
        <w:t xml:space="preserve"> are not for use in investigator-initiated</w:t>
      </w:r>
      <w:r w:rsidR="004A5528">
        <w:t>, non-commercially sponsored,</w:t>
      </w:r>
      <w:r w:rsidRPr="007145AE">
        <w:t xml:space="preserve"> trials. The Model Agreement for Non-Commercial Research in the Health Service (</w:t>
      </w:r>
      <w:proofErr w:type="spellStart"/>
      <w:r>
        <w:fldChar w:fldCharType="begin"/>
      </w:r>
      <w:r>
        <w:instrText>HYPERLINK "https://www.myresearchproject.org.uk/help/hlptemplatesfor.aspx" \l "mNCA"</w:instrText>
      </w:r>
      <w:r>
        <w:fldChar w:fldCharType="separate"/>
      </w:r>
      <w:r w:rsidRPr="007145AE">
        <w:rPr>
          <w:rStyle w:val="Hyperlink"/>
        </w:rPr>
        <w:t>mNCA</w:t>
      </w:r>
      <w:proofErr w:type="spellEnd"/>
      <w:r>
        <w:rPr>
          <w:rStyle w:val="Hyperlink"/>
        </w:rPr>
        <w:fldChar w:fldCharType="end"/>
      </w:r>
      <w:r w:rsidRPr="007145AE">
        <w:t>) should be used for this purpose.</w:t>
      </w:r>
    </w:p>
    <w:p w14:paraId="38E20309" w14:textId="64339CE6" w:rsidR="00AE3E9C" w:rsidRDefault="00BA1D35" w:rsidP="00AE3E9C">
      <w:pPr>
        <w:ind w:left="567"/>
      </w:pPr>
      <w:r>
        <w:t xml:space="preserve">The </w:t>
      </w:r>
      <w:proofErr w:type="spellStart"/>
      <w:r>
        <w:t>mCTAs</w:t>
      </w:r>
      <w:proofErr w:type="spellEnd"/>
      <w:r>
        <w:t xml:space="preserve"> are not for use in clinical investigations of medical devices (</w:t>
      </w:r>
      <w:r w:rsidR="00CD4F5C">
        <w:t xml:space="preserve">commercially sponsored device studies should use </w:t>
      </w:r>
      <w:hyperlink r:id="rId13" w:anchor="mCIA-CROmCIA" w:history="1">
        <w:proofErr w:type="spellStart"/>
        <w:r w:rsidR="00CD4F5C" w:rsidRPr="0083046E">
          <w:rPr>
            <w:rStyle w:val="Hyperlink"/>
          </w:rPr>
          <w:t>mCIA</w:t>
        </w:r>
        <w:proofErr w:type="spellEnd"/>
      </w:hyperlink>
      <w:r w:rsidR="00CD4F5C">
        <w:t xml:space="preserve">), or for non-interventional studies (for which </w:t>
      </w:r>
      <w:hyperlink r:id="rId14" w:anchor="mNISA-CROmNISA" w:history="1">
        <w:proofErr w:type="spellStart"/>
        <w:r w:rsidR="00CD4F5C" w:rsidRPr="00A626BA">
          <w:rPr>
            <w:rStyle w:val="Hyperlink"/>
          </w:rPr>
          <w:t>mNISA</w:t>
        </w:r>
        <w:proofErr w:type="spellEnd"/>
      </w:hyperlink>
      <w:r w:rsidR="00CD4F5C">
        <w:t xml:space="preserve"> should be used</w:t>
      </w:r>
      <w:r w:rsidR="004A5528">
        <w:t xml:space="preserve"> if commercial or the </w:t>
      </w:r>
      <w:hyperlink r:id="rId15" w:anchor="UK-Local-Information-Pack-OID" w:history="1">
        <w:r w:rsidR="004A5528" w:rsidRPr="000F5A25">
          <w:rPr>
            <w:rStyle w:val="Hyperlink"/>
          </w:rPr>
          <w:t>organisation information document</w:t>
        </w:r>
      </w:hyperlink>
      <w:r w:rsidR="004A5528">
        <w:t xml:space="preserve"> if non-commercial</w:t>
      </w:r>
      <w:r w:rsidR="00CD4F5C">
        <w:t>).</w:t>
      </w:r>
    </w:p>
    <w:p w14:paraId="40748F93" w14:textId="6A33E806" w:rsidR="000B2A74" w:rsidRPr="000B2A74" w:rsidRDefault="000B2A74" w:rsidP="00AE3E9C">
      <w:pPr>
        <w:pStyle w:val="Clauselevel1"/>
        <w:rPr>
          <w:b/>
          <w:bCs/>
        </w:rPr>
      </w:pPr>
      <w:r w:rsidRPr="683E1A5A">
        <w:rPr>
          <w:b/>
          <w:bCs/>
        </w:rPr>
        <w:t>Investigator Sites, Trial Sites and Hub and Spoke Agreements</w:t>
      </w:r>
    </w:p>
    <w:p w14:paraId="3733F70D" w14:textId="0B0D0726" w:rsidR="00AE3E9C" w:rsidRDefault="00AE3E9C" w:rsidP="000B2A74">
      <w:pPr>
        <w:pStyle w:val="Clauselevel1"/>
        <w:numPr>
          <w:ilvl w:val="0"/>
          <w:numId w:val="0"/>
        </w:numPr>
        <w:ind w:left="567"/>
      </w:pPr>
      <w:r>
        <w:t xml:space="preserve">The </w:t>
      </w:r>
      <w:proofErr w:type="spellStart"/>
      <w:r>
        <w:t>mCTA</w:t>
      </w:r>
      <w:proofErr w:type="spellEnd"/>
      <w:r>
        <w:t xml:space="preserve"> take</w:t>
      </w:r>
      <w:r w:rsidR="00F64CFD">
        <w:t>s</w:t>
      </w:r>
      <w:r>
        <w:t xml:space="preserve"> account of and align</w:t>
      </w:r>
      <w:r w:rsidR="00F64CFD">
        <w:t>s</w:t>
      </w:r>
      <w:r>
        <w:t xml:space="preserve"> with UK guidance on the </w:t>
      </w:r>
      <w:hyperlink r:id="rId16" w:history="1">
        <w:r w:rsidRPr="00337355">
          <w:rPr>
            <w:rStyle w:val="Hyperlink"/>
          </w:rPr>
          <w:t>set up of research activity at NHS organisations (interventional research)</w:t>
        </w:r>
      </w:hyperlink>
      <w:r>
        <w:t xml:space="preserve">. Accordingly, the Party contracted by the Sponsor to conduct the </w:t>
      </w:r>
      <w:r w:rsidR="00F15380">
        <w:t>Clinical Trial</w:t>
      </w:r>
      <w:r>
        <w:t xml:space="preserve"> is now defined as the Trial Site.</w:t>
      </w:r>
    </w:p>
    <w:p w14:paraId="5F997581" w14:textId="1E3FACE0" w:rsidR="00AE3E9C" w:rsidRDefault="00AE3E9C" w:rsidP="000B2A74">
      <w:pPr>
        <w:pStyle w:val="Clauselevel1"/>
        <w:numPr>
          <w:ilvl w:val="0"/>
          <w:numId w:val="0"/>
        </w:numPr>
        <w:ind w:left="567"/>
      </w:pPr>
      <w:r>
        <w:t xml:space="preserve">The above referenced set-up guidance defines a </w:t>
      </w:r>
      <w:r w:rsidR="00662027">
        <w:t>T</w:t>
      </w:r>
      <w:r>
        <w:t xml:space="preserve">rial </w:t>
      </w:r>
      <w:r w:rsidR="00662027">
        <w:t>S</w:t>
      </w:r>
      <w:r>
        <w:t>ite as “</w:t>
      </w:r>
      <w:r w:rsidRPr="00B2504D">
        <w:t>a legal entity responsible for some element of an interventional research study for which PI oversight is required</w:t>
      </w:r>
      <w:r>
        <w:t xml:space="preserve">”. It also clarifies that one PI may oversee more than one trial site, or that one trial site may need more than one PI to ensure effective oversight.  </w:t>
      </w:r>
    </w:p>
    <w:p w14:paraId="1D3DB028" w14:textId="11847C3C" w:rsidR="00AE3E9C" w:rsidRDefault="00AE3E9C" w:rsidP="000B2A74">
      <w:pPr>
        <w:pStyle w:val="Clauselevel1"/>
        <w:numPr>
          <w:ilvl w:val="0"/>
          <w:numId w:val="0"/>
        </w:numPr>
        <w:ind w:left="567"/>
      </w:pPr>
      <w:r>
        <w:t xml:space="preserve">The guidance (and the </w:t>
      </w:r>
      <w:proofErr w:type="spellStart"/>
      <w:r w:rsidR="001978FC">
        <w:t>mCTAs</w:t>
      </w:r>
      <w:proofErr w:type="spellEnd"/>
      <w:r>
        <w:t>) uses the term Investigator Site for “</w:t>
      </w:r>
      <w:r w:rsidRPr="009E065F">
        <w:t>the activities (regardless of their location) with effective oversight by one Principal Investigator</w:t>
      </w:r>
      <w:r>
        <w:t>”</w:t>
      </w:r>
      <w:r w:rsidR="009769D4">
        <w:t>.</w:t>
      </w:r>
    </w:p>
    <w:p w14:paraId="629B9D49" w14:textId="012030FB" w:rsidR="00AE3E9C" w:rsidRDefault="00AE3E9C" w:rsidP="000B2A74">
      <w:pPr>
        <w:pStyle w:val="Clauselevel1"/>
        <w:numPr>
          <w:ilvl w:val="0"/>
          <w:numId w:val="0"/>
        </w:numPr>
        <w:ind w:left="567"/>
      </w:pPr>
      <w:r>
        <w:t xml:space="preserve">A </w:t>
      </w:r>
      <w:r w:rsidR="00654B23">
        <w:t>clinical trial</w:t>
      </w:r>
      <w:r>
        <w:t xml:space="preserve"> may therefore be delivered with one (or a combination of) the following PI oversight </w:t>
      </w:r>
      <w:proofErr w:type="gramStart"/>
      <w:r>
        <w:t>arrangements;</w:t>
      </w:r>
      <w:proofErr w:type="gramEnd"/>
    </w:p>
    <w:p w14:paraId="06EDE08D" w14:textId="17748327" w:rsidR="00AE3E9C" w:rsidRDefault="00AE3E9C" w:rsidP="00F43F5D">
      <w:pPr>
        <w:pStyle w:val="Sub-clauselevel2"/>
        <w:numPr>
          <w:ilvl w:val="0"/>
          <w:numId w:val="40"/>
        </w:numPr>
      </w:pPr>
      <w:r>
        <w:t xml:space="preserve">one Investigator Site per Trial Site.  That is to say that there is one PI overseeing research activity at one legal entity (see figure 1.1), </w:t>
      </w:r>
      <w:proofErr w:type="gramStart"/>
      <w:r>
        <w:t>or;</w:t>
      </w:r>
      <w:proofErr w:type="gramEnd"/>
    </w:p>
    <w:p w14:paraId="6ECC2B54" w14:textId="44FF7691" w:rsidR="00AE3E9C" w:rsidRDefault="00AE3E9C" w:rsidP="00F43F5D">
      <w:pPr>
        <w:pStyle w:val="Sub-clauselevel2"/>
        <w:numPr>
          <w:ilvl w:val="0"/>
          <w:numId w:val="40"/>
        </w:numPr>
      </w:pPr>
      <w:r>
        <w:t xml:space="preserve">More than one Investigator Site within the one Trial Site.  That is to say that there is more than one PI for research activity occurring within the one legal entity, each PI having oversight for specific activities within that entity (see figure 1.2), </w:t>
      </w:r>
      <w:proofErr w:type="gramStart"/>
      <w:r>
        <w:t>or;</w:t>
      </w:r>
      <w:proofErr w:type="gramEnd"/>
    </w:p>
    <w:p w14:paraId="29A738DE" w14:textId="6BD826EA" w:rsidR="00AE3E9C" w:rsidRDefault="00AE3E9C" w:rsidP="00F43F5D">
      <w:pPr>
        <w:pStyle w:val="Sub-clauselevel2"/>
        <w:numPr>
          <w:ilvl w:val="0"/>
          <w:numId w:val="40"/>
        </w:numPr>
      </w:pPr>
      <w:r>
        <w:t>More than one Trial Site within the one Investigator Site.  That is to say that one PI oversees research activities occurring within more than one legal entity (see figure 1.3</w:t>
      </w:r>
      <w:proofErr w:type="gramStart"/>
      <w:r>
        <w:t>);</w:t>
      </w:r>
      <w:proofErr w:type="gramEnd"/>
    </w:p>
    <w:p w14:paraId="0F3D602A" w14:textId="77777777" w:rsidR="00AE3E9C" w:rsidRDefault="00AE3E9C" w:rsidP="00F43F5D">
      <w:pPr>
        <w:pStyle w:val="Sub-clauselevel2"/>
        <w:numPr>
          <w:ilvl w:val="0"/>
          <w:numId w:val="40"/>
        </w:numPr>
      </w:pPr>
      <w:r>
        <w:t xml:space="preserve">There may also be other legal entities involved in the study that are undertaking activities not needing PI oversight, for example general </w:t>
      </w:r>
      <w:r>
        <w:lastRenderedPageBreak/>
        <w:t>practices undertaking simple blood draws, Participant Identification Centres and so on (see figure 1.4).</w:t>
      </w:r>
    </w:p>
    <w:p w14:paraId="409ED19F" w14:textId="77777777" w:rsidR="00AE3E9C" w:rsidRDefault="00AE3E9C" w:rsidP="00A279BB">
      <w:pPr>
        <w:pStyle w:val="Sub-clauselevel2"/>
        <w:numPr>
          <w:ilvl w:val="0"/>
          <w:numId w:val="0"/>
        </w:numPr>
        <w:ind w:left="1135" w:hanging="567"/>
      </w:pPr>
      <w:r w:rsidRPr="00F00622">
        <w:rPr>
          <w:b/>
          <w:bCs/>
        </w:rPr>
        <w:t>FIGURE</w:t>
      </w:r>
      <w:r>
        <w:rPr>
          <w:b/>
          <w:bCs/>
        </w:rPr>
        <w:t>S</w:t>
      </w:r>
      <w:r w:rsidRPr="00F00622">
        <w:rPr>
          <w:b/>
          <w:bCs/>
        </w:rPr>
        <w:t xml:space="preserve"> 1.1 – 1</w:t>
      </w:r>
      <w:r w:rsidRPr="00F00622">
        <w:t>.</w:t>
      </w:r>
      <w:r w:rsidRPr="00A279BB">
        <w:rPr>
          <w:b/>
          <w:bCs/>
        </w:rPr>
        <w:t>4</w:t>
      </w:r>
    </w:p>
    <w:p w14:paraId="27DC9A9A" w14:textId="77777777" w:rsidR="00AE3E9C" w:rsidRDefault="00AE3E9C" w:rsidP="00AE3E9C">
      <w:pPr>
        <w:pStyle w:val="Clauselevel1"/>
        <w:numPr>
          <w:ilvl w:val="0"/>
          <w:numId w:val="0"/>
        </w:numPr>
        <w:ind w:left="567"/>
      </w:pPr>
      <w:r w:rsidRPr="006108AB">
        <w:rPr>
          <w:noProof/>
        </w:rPr>
        <w:drawing>
          <wp:inline distT="0" distB="0" distL="0" distR="0" wp14:anchorId="1B32909C" wp14:editId="4ECFAC32">
            <wp:extent cx="5731510" cy="3223895"/>
            <wp:effectExtent l="0" t="0" r="2540" b="0"/>
            <wp:docPr id="1" name="Picture 1" descr="Figure 1.1 shows an Investigator Site and Trial Site that are identical.&#10;Figure 1.2 shows two investigator sites within one legal entity.&#10;Figure 1.3 shows two legal entities within one investigator site.&#10;Figure 1.4 shows one investigator site identical to the trial site but with other organisations providing PIC and blood-draw activities that do not require PI oversight and that are therefore outside of the investigator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1.1 shows an Investigator Site and Trial Site that are identical.&#10;Figure 1.2 shows two investigator sites within one legal entity.&#10;Figure 1.3 shows two legal entities within one investigator site.&#10;Figure 1.4 shows one investigator site identical to the trial site but with other organisations providing PIC and blood-draw activities that do not require PI oversight and that are therefore outside of the investigator site."/>
                    <pic:cNvPicPr/>
                  </pic:nvPicPr>
                  <pic:blipFill>
                    <a:blip r:embed="rId17"/>
                    <a:stretch>
                      <a:fillRect/>
                    </a:stretch>
                  </pic:blipFill>
                  <pic:spPr>
                    <a:xfrm>
                      <a:off x="0" y="0"/>
                      <a:ext cx="5731510" cy="3223895"/>
                    </a:xfrm>
                    <a:prstGeom prst="rect">
                      <a:avLst/>
                    </a:prstGeom>
                  </pic:spPr>
                </pic:pic>
              </a:graphicData>
            </a:graphic>
          </wp:inline>
        </w:drawing>
      </w:r>
    </w:p>
    <w:p w14:paraId="5523D79E" w14:textId="08DE711A" w:rsidR="00AE3E9C" w:rsidRDefault="00AE3E9C" w:rsidP="00A279BB">
      <w:pPr>
        <w:pStyle w:val="Clauselevel1"/>
        <w:numPr>
          <w:ilvl w:val="0"/>
          <w:numId w:val="0"/>
        </w:numPr>
        <w:ind w:left="567"/>
      </w:pPr>
      <w:r>
        <w:t xml:space="preserve">Where there is more than one Investigator Site within the one Trial Site, one </w:t>
      </w:r>
      <w:proofErr w:type="spellStart"/>
      <w:r w:rsidR="001978FC">
        <w:t>mCTA</w:t>
      </w:r>
      <w:proofErr w:type="spellEnd"/>
      <w:r>
        <w:t xml:space="preserve"> per Investigator Site should be agreed between the Parties. Whilst this means that the same Trial Site has more than one contract for the same </w:t>
      </w:r>
      <w:r w:rsidR="00DE4671">
        <w:t>clinical trial</w:t>
      </w:r>
      <w:r>
        <w:t>, each contract would cover the activities specifically contracted to be overseen by one PI. Clause 1</w:t>
      </w:r>
      <w:r w:rsidR="00A14F07">
        <w:t>6.4</w:t>
      </w:r>
      <w:r>
        <w:t xml:space="preserve"> facilitate</w:t>
      </w:r>
      <w:r w:rsidR="00F3254B">
        <w:t>s</w:t>
      </w:r>
      <w:r>
        <w:t xml:space="preserve"> this approach.  </w:t>
      </w:r>
      <w:r w:rsidR="008B0554">
        <w:t xml:space="preserve">The </w:t>
      </w:r>
      <w:proofErr w:type="spellStart"/>
      <w:r w:rsidR="008B0554">
        <w:t>mCTA</w:t>
      </w:r>
      <w:proofErr w:type="spellEnd"/>
      <w:r>
        <w:t xml:space="preserve"> should not be modified to attempt to use one contract to cover more than one Investigator Site within the same Trial Site.</w:t>
      </w:r>
    </w:p>
    <w:p w14:paraId="2E7925CC" w14:textId="3AF47328" w:rsidR="00505B30" w:rsidRPr="00505B30" w:rsidRDefault="00AE3E9C" w:rsidP="00A279BB">
      <w:pPr>
        <w:pStyle w:val="Clauselevel1"/>
        <w:numPr>
          <w:ilvl w:val="0"/>
          <w:numId w:val="0"/>
        </w:numPr>
        <w:ind w:left="567"/>
      </w:pPr>
      <w:r>
        <w:t xml:space="preserve">Where there is more than one Trial Site within the one Investigator Site, the </w:t>
      </w:r>
      <w:proofErr w:type="spellStart"/>
      <w:r w:rsidR="008528FE">
        <w:t>mCTAs</w:t>
      </w:r>
      <w:proofErr w:type="spellEnd"/>
      <w:r w:rsidR="008528FE">
        <w:t xml:space="preserve"> have</w:t>
      </w:r>
      <w:r>
        <w:t xml:space="preserve"> been drafted to allow the Lead Trial Site (that which employs the PI) to contract with the Sponsor using the </w:t>
      </w:r>
      <w:proofErr w:type="spellStart"/>
      <w:r w:rsidR="008528FE">
        <w:t>mCTA</w:t>
      </w:r>
      <w:proofErr w:type="spellEnd"/>
      <w:r>
        <w:t xml:space="preserve">. The Lead Trial Site then subcontracts to Other Trial Sites the aspects of the </w:t>
      </w:r>
      <w:r w:rsidR="00905393">
        <w:t>Clinical Trial</w:t>
      </w:r>
      <w:r>
        <w:t xml:space="preserve"> that they will conduct, overseen by the Lead Trial Site PI. A </w:t>
      </w:r>
      <w:hyperlink r:id="rId18" w:anchor="HubSpokeAgreements" w:history="1">
        <w:r w:rsidRPr="00E34677">
          <w:rPr>
            <w:rStyle w:val="Hyperlink"/>
          </w:rPr>
          <w:t>commercial hub and spoke template</w:t>
        </w:r>
      </w:hyperlink>
      <w:r>
        <w:t xml:space="preserve"> has been published for use alongside the </w:t>
      </w:r>
      <w:proofErr w:type="spellStart"/>
      <w:r w:rsidR="008528FE">
        <w:t>mCTA</w:t>
      </w:r>
      <w:proofErr w:type="spellEnd"/>
      <w:r>
        <w:t xml:space="preserve"> in such circumstances, allowing the Lead Trial Site to subcontract with Other Trial Sites in a consistent manner.</w:t>
      </w:r>
    </w:p>
    <w:p w14:paraId="3D5A3FE2" w14:textId="407E7D00" w:rsidR="00B37492" w:rsidRPr="00B37492" w:rsidRDefault="00B37492" w:rsidP="00B37492">
      <w:pPr>
        <w:pStyle w:val="Clauselevel1"/>
      </w:pPr>
      <w:r w:rsidRPr="00B37492">
        <w:rPr>
          <w:b/>
        </w:rPr>
        <w:t xml:space="preserve">Modifications </w:t>
      </w:r>
      <w:r w:rsidR="007633E3">
        <w:rPr>
          <w:b/>
        </w:rPr>
        <w:t>to</w:t>
      </w:r>
      <w:r w:rsidRPr="00B37492">
        <w:rPr>
          <w:b/>
        </w:rPr>
        <w:t xml:space="preserve"> the </w:t>
      </w:r>
      <w:proofErr w:type="spellStart"/>
      <w:r w:rsidRPr="00B37492">
        <w:rPr>
          <w:b/>
        </w:rPr>
        <w:t>mCTAs</w:t>
      </w:r>
      <w:proofErr w:type="spellEnd"/>
    </w:p>
    <w:p w14:paraId="49426B74" w14:textId="271C3B41" w:rsidR="00E109D4" w:rsidRPr="00F05F26" w:rsidRDefault="00E109D4" w:rsidP="00E109D4">
      <w:pPr>
        <w:ind w:left="567"/>
      </w:pPr>
      <w:r w:rsidRPr="00F05F26">
        <w:t xml:space="preserve">The </w:t>
      </w:r>
      <w:proofErr w:type="spellStart"/>
      <w:r w:rsidRPr="00F05F26">
        <w:t>mCTAs</w:t>
      </w:r>
      <w:proofErr w:type="spellEnd"/>
      <w:r w:rsidRPr="00F05F26">
        <w:t xml:space="preserve"> have been developed through </w:t>
      </w:r>
      <w:r w:rsidR="00FE1B20">
        <w:t xml:space="preserve">many years of </w:t>
      </w:r>
      <w:r w:rsidRPr="00F05F26">
        <w:t>negotiation and discussion between a wide stakeholder group.</w:t>
      </w:r>
    </w:p>
    <w:p w14:paraId="1421301D" w14:textId="0DD7F65A" w:rsidR="00E109D4" w:rsidRPr="00F05F26" w:rsidRDefault="00E109D4" w:rsidP="00E109D4">
      <w:pPr>
        <w:ind w:left="567"/>
      </w:pPr>
      <w:r w:rsidRPr="00F05F26">
        <w:t>Prior to execution of a clinical trial agreement, it is necessary for trial</w:t>
      </w:r>
      <w:r>
        <w:t>-</w:t>
      </w:r>
      <w:r w:rsidRPr="00F05F26">
        <w:t>specific information to be appended to</w:t>
      </w:r>
      <w:r w:rsidR="003B6DB7">
        <w:t>, or options selected within,</w:t>
      </w:r>
      <w:r w:rsidRPr="00F05F26">
        <w:t xml:space="preserve"> the </w:t>
      </w:r>
      <w:proofErr w:type="spellStart"/>
      <w:r w:rsidRPr="00F05F26">
        <w:t>mCTAs</w:t>
      </w:r>
      <w:proofErr w:type="spellEnd"/>
      <w:r w:rsidRPr="00F05F26">
        <w:t>. The information</w:t>
      </w:r>
      <w:r w:rsidR="003B6DB7">
        <w:t xml:space="preserve"> required/options</w:t>
      </w:r>
      <w:r w:rsidRPr="00F05F26">
        <w:t xml:space="preserve"> </w:t>
      </w:r>
      <w:r w:rsidR="003B6DB7">
        <w:t>are</w:t>
      </w:r>
      <w:r w:rsidRPr="00F05F26">
        <w:t xml:space="preserve"> identified on the front page of the </w:t>
      </w:r>
      <w:proofErr w:type="spellStart"/>
      <w:r w:rsidRPr="00F05F26">
        <w:t>mCTAs</w:t>
      </w:r>
      <w:proofErr w:type="spellEnd"/>
      <w:r w:rsidR="003B6DB7">
        <w:t xml:space="preserve"> (and throughout the </w:t>
      </w:r>
      <w:proofErr w:type="spellStart"/>
      <w:r w:rsidR="003B6DB7">
        <w:t>mCTAs</w:t>
      </w:r>
      <w:proofErr w:type="spellEnd"/>
      <w:r w:rsidR="003B6DB7">
        <w:t xml:space="preserve"> in </w:t>
      </w:r>
      <w:r w:rsidR="003B6DB7" w:rsidRPr="003B6DB7">
        <w:rPr>
          <w:highlight w:val="yellow"/>
        </w:rPr>
        <w:t>yellow highlight</w:t>
      </w:r>
      <w:r w:rsidR="003B6DB7">
        <w:t>)</w:t>
      </w:r>
      <w:r w:rsidRPr="00F05F26">
        <w:t xml:space="preserve">. </w:t>
      </w:r>
      <w:r w:rsidR="003B6DB7">
        <w:t>Other than the need to add</w:t>
      </w:r>
      <w:r w:rsidR="00B91CD8">
        <w:t xml:space="preserve"> or </w:t>
      </w:r>
      <w:r w:rsidR="003B6DB7">
        <w:t>select information as specified, it</w:t>
      </w:r>
      <w:r w:rsidRPr="00F05F26">
        <w:t xml:space="preserve"> is strongly recommended by all the UK Health Departments that the </w:t>
      </w:r>
      <w:proofErr w:type="spellStart"/>
      <w:r w:rsidRPr="00F05F26">
        <w:t>mCTAs</w:t>
      </w:r>
      <w:proofErr w:type="spellEnd"/>
      <w:r w:rsidRPr="00F05F26">
        <w:t xml:space="preserve"> should be used without modification.</w:t>
      </w:r>
      <w:r w:rsidR="005C57A0">
        <w:t xml:space="preserve"> Any request by </w:t>
      </w:r>
      <w:r w:rsidR="005C57A0">
        <w:lastRenderedPageBreak/>
        <w:t>a sponsor</w:t>
      </w:r>
      <w:r w:rsidR="00B91CD8">
        <w:t xml:space="preserve"> or </w:t>
      </w:r>
      <w:r w:rsidR="005C57A0">
        <w:t xml:space="preserve">CRO to modify the </w:t>
      </w:r>
      <w:proofErr w:type="spellStart"/>
      <w:r w:rsidR="005C57A0">
        <w:t>mCTAs</w:t>
      </w:r>
      <w:proofErr w:type="spellEnd"/>
      <w:r w:rsidR="005C57A0">
        <w:t xml:space="preserve"> and</w:t>
      </w:r>
      <w:r w:rsidR="001A3DF9">
        <w:t xml:space="preserve"> </w:t>
      </w:r>
      <w:r w:rsidR="005C57A0">
        <w:t>/</w:t>
      </w:r>
      <w:r w:rsidR="001A3DF9">
        <w:t xml:space="preserve"> </w:t>
      </w:r>
      <w:r w:rsidR="005C57A0">
        <w:t xml:space="preserve">or to use any agreement to contract with a site other than the appropriate </w:t>
      </w:r>
      <w:proofErr w:type="spellStart"/>
      <w:r w:rsidR="005C57A0">
        <w:t>mCTA</w:t>
      </w:r>
      <w:proofErr w:type="spellEnd"/>
      <w:r w:rsidR="005C57A0">
        <w:t>, should be disclosed in the IRAS submission (a version of the template proposed for use, with tracked changes</w:t>
      </w:r>
      <w:r w:rsidR="00003333">
        <w:t>,</w:t>
      </w:r>
      <w:r w:rsidR="005C57A0">
        <w:t xml:space="preserve"> and detail</w:t>
      </w:r>
      <w:r w:rsidR="00003333">
        <w:t>ed</w:t>
      </w:r>
      <w:r w:rsidR="005C57A0">
        <w:t xml:space="preserve"> justification should be provided).</w:t>
      </w:r>
    </w:p>
    <w:p w14:paraId="67B74D1C" w14:textId="0F74CE3D" w:rsidR="005C57A0" w:rsidRDefault="00E109D4" w:rsidP="00A20F7E">
      <w:pPr>
        <w:ind w:left="567"/>
      </w:pPr>
      <w:r w:rsidRPr="00F05F26">
        <w:t>In England and Wales</w:t>
      </w:r>
      <w:r>
        <w:t>,</w:t>
      </w:r>
      <w:r w:rsidRPr="00F05F26">
        <w:t xml:space="preserve"> NHS organisations are required to use only an unmodified </w:t>
      </w:r>
      <w:proofErr w:type="spellStart"/>
      <w:r w:rsidRPr="00F05F26">
        <w:t>mCTA</w:t>
      </w:r>
      <w:proofErr w:type="spellEnd"/>
      <w:r w:rsidRPr="00F05F26">
        <w:t xml:space="preserve"> or CRO-</w:t>
      </w:r>
      <w:proofErr w:type="spellStart"/>
      <w:r w:rsidRPr="00F05F26">
        <w:t>mCTA</w:t>
      </w:r>
      <w:proofErr w:type="spellEnd"/>
      <w:r w:rsidRPr="00F05F26">
        <w:t xml:space="preserve"> (as appropriate and applicable). In exceptional circumstances this requirement may be waived by the letter of HRA and HCRW Approval for the study</w:t>
      </w:r>
      <w:r w:rsidR="005C57A0">
        <w:t xml:space="preserve">. Such waivers require UK agreement from the UK Four Nations Contracting Leads Group. Similarly, proposals for modifications to </w:t>
      </w:r>
      <w:proofErr w:type="spellStart"/>
      <w:r w:rsidR="005C57A0">
        <w:t>mCTAs</w:t>
      </w:r>
      <w:proofErr w:type="spellEnd"/>
      <w:r w:rsidR="005C57A0">
        <w:t xml:space="preserve"> for use with sites in Scotland or Northern Ireland will also be escalated to the UK Group.</w:t>
      </w:r>
    </w:p>
    <w:p w14:paraId="1693B01E" w14:textId="1D34CF2B" w:rsidR="00E109D4" w:rsidRPr="00F05F26" w:rsidRDefault="001D09C8" w:rsidP="00A20F7E">
      <w:pPr>
        <w:ind w:left="567"/>
      </w:pPr>
      <w:r>
        <w:t>Sponsors</w:t>
      </w:r>
      <w:r w:rsidR="00E109D4" w:rsidRPr="00F05F26">
        <w:t xml:space="preserve"> should be aware that </w:t>
      </w:r>
      <w:r w:rsidR="00FE1B20">
        <w:t>proposing modifications to template agreements</w:t>
      </w:r>
      <w:r w:rsidR="00E109D4" w:rsidRPr="00F05F26">
        <w:t xml:space="preserve"> </w:t>
      </w:r>
      <w:r w:rsidR="00FE1B20">
        <w:t>is likely to result in</w:t>
      </w:r>
      <w:r w:rsidR="00E109D4" w:rsidRPr="00F05F26">
        <w:t xml:space="preserve"> significant delay and does not oblige NHS organisations to agree the modified agreement</w:t>
      </w:r>
      <w:r w:rsidR="00FE1B20">
        <w:t>, even where a waiver is centrally agreed for its use</w:t>
      </w:r>
      <w:r w:rsidR="00E109D4" w:rsidRPr="00F05F26">
        <w:t xml:space="preserve">. </w:t>
      </w:r>
      <w:r w:rsidR="00AE0EE9">
        <w:t xml:space="preserve">Any waiver issued would allow the NHS organisation to propose and negotiate its own modifications. </w:t>
      </w:r>
      <w:r w:rsidR="00E109D4" w:rsidRPr="00F05F26">
        <w:t>Unmodified use is strongly recommended.</w:t>
      </w:r>
    </w:p>
    <w:p w14:paraId="54653CDD" w14:textId="2F37E3B8" w:rsidR="00E109D4" w:rsidRPr="00F05F26" w:rsidRDefault="00E109D4" w:rsidP="00A20F7E">
      <w:pPr>
        <w:pStyle w:val="Heading2"/>
        <w:numPr>
          <w:ilvl w:val="0"/>
          <w:numId w:val="0"/>
        </w:numPr>
      </w:pPr>
      <w:bookmarkStart w:id="3" w:name="_Toc146538116"/>
      <w:r w:rsidRPr="00F05F26">
        <w:t>Section 2</w:t>
      </w:r>
      <w:r>
        <w:t>:</w:t>
      </w:r>
      <w:r w:rsidRPr="00F05F26">
        <w:t xml:space="preserve"> Guidance on the Provisions in the </w:t>
      </w:r>
      <w:proofErr w:type="spellStart"/>
      <w:r w:rsidRPr="00F05F26">
        <w:t>mCTAs</w:t>
      </w:r>
      <w:bookmarkEnd w:id="3"/>
      <w:proofErr w:type="spellEnd"/>
    </w:p>
    <w:p w14:paraId="0B63620D" w14:textId="0197B455" w:rsidR="00A20F7E" w:rsidRDefault="00A20F7E" w:rsidP="00EF50C6">
      <w:pPr>
        <w:pStyle w:val="Normalnos"/>
      </w:pPr>
      <w:r w:rsidRPr="00E109D4">
        <w:t>Contracting Parties</w:t>
      </w:r>
      <w:r>
        <w:t xml:space="preserve"> </w:t>
      </w:r>
    </w:p>
    <w:p w14:paraId="14CDF063" w14:textId="7405881E" w:rsidR="00A20F7E" w:rsidRPr="00F05F26" w:rsidRDefault="00A20F7E" w:rsidP="00A20F7E">
      <w:pPr>
        <w:ind w:left="567"/>
      </w:pPr>
      <w:proofErr w:type="gramStart"/>
      <w:r w:rsidRPr="00F05F26">
        <w:t>In order to</w:t>
      </w:r>
      <w:proofErr w:type="gramEnd"/>
      <w:r w:rsidRPr="00F05F26">
        <w:t xml:space="preserve"> comply with research and clinical governance requirements and expectations, and to establish the correct lines of accountability for clinicians practising in the NHS, all contract clinical trials must be governed by contracts between the </w:t>
      </w:r>
      <w:r>
        <w:t>Sponsor</w:t>
      </w:r>
      <w:r w:rsidRPr="00F05F26">
        <w:t xml:space="preserve"> and </w:t>
      </w:r>
      <w:r w:rsidR="00FB62D4">
        <w:t>NHS</w:t>
      </w:r>
      <w:r>
        <w:t xml:space="preserve"> </w:t>
      </w:r>
      <w:r w:rsidR="00FB62D4">
        <w:t>o</w:t>
      </w:r>
      <w:r>
        <w:t>rganisation</w:t>
      </w:r>
      <w:r w:rsidRPr="00F05F26">
        <w:t xml:space="preserve"> </w:t>
      </w:r>
      <w:r w:rsidR="00DF735B">
        <w:t xml:space="preserve">(or, where appropriate, a subcontract </w:t>
      </w:r>
      <w:r w:rsidR="003012B7">
        <w:t>between NHS organisations)</w:t>
      </w:r>
      <w:r w:rsidRPr="00F05F26">
        <w:t xml:space="preserve">. This remains the case even when, for example, the investigator is employed by a university and holds an honorary contract with the </w:t>
      </w:r>
      <w:r w:rsidR="003012B7">
        <w:t>NHS o</w:t>
      </w:r>
      <w:r>
        <w:t>rganisation</w:t>
      </w:r>
      <w:r w:rsidRPr="00F05F26">
        <w:t>.</w:t>
      </w:r>
    </w:p>
    <w:p w14:paraId="3B8BD1CB" w14:textId="77777777" w:rsidR="00A20F7E" w:rsidRPr="00F05F26" w:rsidRDefault="00A20F7E" w:rsidP="00A20F7E">
      <w:pPr>
        <w:ind w:left="567"/>
      </w:pPr>
      <w:r w:rsidRPr="00F05F26">
        <w:t xml:space="preserve">Where a </w:t>
      </w:r>
      <w:r>
        <w:t>Sponsor</w:t>
      </w:r>
      <w:r w:rsidRPr="00F05F26">
        <w:t xml:space="preserve"> has legally delegated to a corporate affiliate of the </w:t>
      </w:r>
      <w:r>
        <w:t>Sponsor</w:t>
      </w:r>
      <w:r w:rsidRPr="00F05F26">
        <w:t xml:space="preserve"> </w:t>
      </w:r>
      <w:r>
        <w:t>t</w:t>
      </w:r>
      <w:r w:rsidRPr="00F05F26">
        <w:t xml:space="preserve">he power to contractually bind the </w:t>
      </w:r>
      <w:r>
        <w:t>Sponsor</w:t>
      </w:r>
      <w:r w:rsidRPr="00F05F26">
        <w:t xml:space="preserve"> by signing the Agreement on its behalf, evidence of this delegated authority should be attached as Appendix </w:t>
      </w:r>
      <w:r>
        <w:t xml:space="preserve">8 of the </w:t>
      </w:r>
      <w:proofErr w:type="spellStart"/>
      <w:r>
        <w:t>mCTA</w:t>
      </w:r>
      <w:proofErr w:type="spellEnd"/>
      <w:r>
        <w:t xml:space="preserve"> or Appendix 9 of the CRO-</w:t>
      </w:r>
      <w:proofErr w:type="spellStart"/>
      <w:r>
        <w:t>mCTA</w:t>
      </w:r>
      <w:proofErr w:type="spellEnd"/>
      <w:r>
        <w:t>. This evidence is required by the NHS as an assurance that the</w:t>
      </w:r>
      <w:r w:rsidRPr="00F05F26">
        <w:t xml:space="preserve"> delegated entity </w:t>
      </w:r>
      <w:r>
        <w:t>is empowered by the Sponsor to</w:t>
      </w:r>
      <w:r w:rsidRPr="00F05F26">
        <w:t xml:space="preserve"> sign on behalf of the </w:t>
      </w:r>
      <w:r>
        <w:t>Sponsor</w:t>
      </w:r>
      <w:r w:rsidRPr="00F05F26">
        <w:t xml:space="preserve"> and </w:t>
      </w:r>
      <w:r>
        <w:t xml:space="preserve">thereby </w:t>
      </w:r>
      <w:r w:rsidRPr="00F05F26">
        <w:t xml:space="preserve">bind the </w:t>
      </w:r>
      <w:r>
        <w:t>Sponsor as Party</w:t>
      </w:r>
      <w:r w:rsidRPr="00F05F26">
        <w:t xml:space="preserve"> to the </w:t>
      </w:r>
      <w:r>
        <w:t>agreement</w:t>
      </w:r>
      <w:r w:rsidRPr="00F05F26">
        <w:t>.</w:t>
      </w:r>
    </w:p>
    <w:p w14:paraId="7DFC2BB0" w14:textId="1B5076A1" w:rsidR="00A20F7E" w:rsidRPr="00F05F26" w:rsidRDefault="00A20F7E" w:rsidP="00A20F7E">
      <w:pPr>
        <w:ind w:left="567"/>
      </w:pPr>
      <w:r w:rsidRPr="00F05F26">
        <w:t xml:space="preserve">Where a </w:t>
      </w:r>
      <w:r>
        <w:t>Sponsor</w:t>
      </w:r>
      <w:r w:rsidRPr="00F05F26">
        <w:t xml:space="preserve"> is not established in the </w:t>
      </w:r>
      <w:r>
        <w:t>UK or EEA</w:t>
      </w:r>
      <w:r w:rsidRPr="00F05F26">
        <w:t xml:space="preserve">, their </w:t>
      </w:r>
      <w:r>
        <w:t xml:space="preserve">UK/EEA </w:t>
      </w:r>
      <w:r w:rsidRPr="00F05F26">
        <w:t xml:space="preserve">Legal Representative </w:t>
      </w:r>
      <w:r>
        <w:t xml:space="preserve">for the purposes of the clinical trial regulations </w:t>
      </w:r>
      <w:r w:rsidRPr="00F05F26">
        <w:t xml:space="preserve">should be named </w:t>
      </w:r>
      <w:r>
        <w:t>in the recitals</w:t>
      </w:r>
      <w:r w:rsidRPr="00F05F26">
        <w:t xml:space="preserve"> of the agreement but will not be a separate signatory or </w:t>
      </w:r>
      <w:r w:rsidR="00CA37B7">
        <w:t>P</w:t>
      </w:r>
      <w:r w:rsidRPr="00F05F26">
        <w:t>arty to the agreement in their capacity as Legal Representative.</w:t>
      </w:r>
    </w:p>
    <w:p w14:paraId="4E250210" w14:textId="0BC2D216" w:rsidR="00A20F7E" w:rsidRPr="00F05F26" w:rsidRDefault="00A20F7E" w:rsidP="00A20F7E">
      <w:pPr>
        <w:ind w:left="567"/>
      </w:pPr>
      <w:r w:rsidRPr="00F05F26">
        <w:t xml:space="preserve">Where the </w:t>
      </w:r>
      <w:r>
        <w:t>Sponsor</w:t>
      </w:r>
      <w:r w:rsidRPr="00F05F26">
        <w:t xml:space="preserve"> has contracted a CRO to manage aspects of the clinical trial, the CRO </w:t>
      </w:r>
      <w:r w:rsidR="002766A6">
        <w:t>may</w:t>
      </w:r>
      <w:r w:rsidR="002766A6" w:rsidRPr="00F05F26">
        <w:t xml:space="preserve"> </w:t>
      </w:r>
      <w:r w:rsidRPr="00F05F26">
        <w:t xml:space="preserve">be </w:t>
      </w:r>
      <w:r w:rsidR="002766A6">
        <w:t>made</w:t>
      </w:r>
      <w:r w:rsidRPr="00F05F26">
        <w:t xml:space="preserve"> a </w:t>
      </w:r>
      <w:r w:rsidR="00CA37B7">
        <w:t>P</w:t>
      </w:r>
      <w:r w:rsidRPr="00F05F26">
        <w:t xml:space="preserve">arty to the </w:t>
      </w:r>
      <w:r w:rsidR="00CA37B7">
        <w:t>Agreement</w:t>
      </w:r>
      <w:r w:rsidR="00730DE7">
        <w:t xml:space="preserve"> </w:t>
      </w:r>
      <w:proofErr w:type="gramStart"/>
      <w:r w:rsidR="00730DE7">
        <w:t>through the use of</w:t>
      </w:r>
      <w:proofErr w:type="gramEnd"/>
      <w:r w:rsidR="00730DE7">
        <w:t xml:space="preserve"> CRO-</w:t>
      </w:r>
      <w:proofErr w:type="spellStart"/>
      <w:r w:rsidR="00730DE7">
        <w:t>mCTA</w:t>
      </w:r>
      <w:proofErr w:type="spellEnd"/>
      <w:r w:rsidR="00730DE7">
        <w:t>.</w:t>
      </w:r>
      <w:r w:rsidRPr="00F05F26">
        <w:t xml:space="preserve"> </w:t>
      </w:r>
      <w:r w:rsidR="003D0387">
        <w:t>Where CRO-</w:t>
      </w:r>
      <w:proofErr w:type="spellStart"/>
      <w:r w:rsidR="003D0387">
        <w:t>mCTA</w:t>
      </w:r>
      <w:proofErr w:type="spellEnd"/>
      <w:r w:rsidR="003D0387">
        <w:t xml:space="preserve"> is used,</w:t>
      </w:r>
      <w:r w:rsidRPr="00F05F26" w:rsidDel="00730DE7">
        <w:t xml:space="preserve"> t</w:t>
      </w:r>
      <w:r w:rsidRPr="00F05F26">
        <w:t xml:space="preserve">he separation of responsibilities between the </w:t>
      </w:r>
      <w:r>
        <w:t>Sponsor</w:t>
      </w:r>
      <w:r w:rsidRPr="00F05F26">
        <w:t xml:space="preserve"> and CRO should be set out clearly, including evidence of the delegated activities appended at Appendix </w:t>
      </w:r>
      <w:r>
        <w:t>8 of the CRO-</w:t>
      </w:r>
      <w:proofErr w:type="spellStart"/>
      <w:r>
        <w:t>mCTA</w:t>
      </w:r>
      <w:proofErr w:type="spellEnd"/>
      <w:r>
        <w:t xml:space="preserve">. </w:t>
      </w:r>
      <w:r w:rsidRPr="00F05F26">
        <w:t xml:space="preserve">If the CRO has been legally empowered by the </w:t>
      </w:r>
      <w:r>
        <w:t>Sponsor</w:t>
      </w:r>
      <w:r w:rsidRPr="00F05F26">
        <w:t xml:space="preserve"> to sign on behalf of the </w:t>
      </w:r>
      <w:r>
        <w:t>Sponsor</w:t>
      </w:r>
      <w:r w:rsidRPr="00F05F26">
        <w:t xml:space="preserve"> to bind the </w:t>
      </w:r>
      <w:r>
        <w:t>Sponsor</w:t>
      </w:r>
      <w:r w:rsidRPr="00F05F26">
        <w:t xml:space="preserve"> as party to the </w:t>
      </w:r>
      <w:r w:rsidR="00CA37B7">
        <w:t>A</w:t>
      </w:r>
      <w:r w:rsidRPr="00F05F26">
        <w:t>greement, this should be clearly evidenced in this appendix.</w:t>
      </w:r>
      <w:r w:rsidR="00730DE7">
        <w:t xml:space="preserve"> Alternatively, </w:t>
      </w:r>
      <w:r w:rsidR="009B50F9">
        <w:t>a s</w:t>
      </w:r>
      <w:r w:rsidR="00730DE7">
        <w:t>ponsor</w:t>
      </w:r>
      <w:r w:rsidR="00FD2D3F">
        <w:t xml:space="preserve"> </w:t>
      </w:r>
      <w:r w:rsidR="009B50F9">
        <w:t>that</w:t>
      </w:r>
      <w:r w:rsidR="00FD2D3F">
        <w:t xml:space="preserve"> ha</w:t>
      </w:r>
      <w:r w:rsidR="009B50F9">
        <w:t>s</w:t>
      </w:r>
      <w:r w:rsidR="00FD2D3F">
        <w:t xml:space="preserve"> contracted a CRO</w:t>
      </w:r>
      <w:r w:rsidR="00004B8B">
        <w:t xml:space="preserve"> to manage some aspects of </w:t>
      </w:r>
      <w:r w:rsidR="00004B8B">
        <w:lastRenderedPageBreak/>
        <w:t>the clinical trial on its behalf</w:t>
      </w:r>
      <w:r w:rsidR="00730DE7">
        <w:t xml:space="preserve"> may prefer to </w:t>
      </w:r>
      <w:r w:rsidR="001018D6">
        <w:t>exclude the CRO from the contract</w:t>
      </w:r>
      <w:r w:rsidR="00730DE7">
        <w:t xml:space="preserve"> with Trial Sites </w:t>
      </w:r>
      <w:r w:rsidR="00FD2D3F">
        <w:t xml:space="preserve">through use of the </w:t>
      </w:r>
      <w:proofErr w:type="spellStart"/>
      <w:r w:rsidR="00FD2D3F">
        <w:t>mCTA</w:t>
      </w:r>
      <w:proofErr w:type="spellEnd"/>
      <w:r w:rsidR="00FD2D3F">
        <w:t xml:space="preserve">. In this instance, the CRO is reflected in the </w:t>
      </w:r>
      <w:proofErr w:type="spellStart"/>
      <w:r w:rsidR="00FD2D3F">
        <w:t>mCTA</w:t>
      </w:r>
      <w:proofErr w:type="spellEnd"/>
      <w:r w:rsidR="00002F1D">
        <w:t xml:space="preserve"> as an Agent of the Sponsor.</w:t>
      </w:r>
      <w:r w:rsidR="00FB4337">
        <w:t xml:space="preserve"> In either c</w:t>
      </w:r>
      <w:r w:rsidR="00D03FA7">
        <w:t xml:space="preserve">ase, the Sponsor is ultimately responsible for </w:t>
      </w:r>
      <w:r w:rsidR="00D71D47">
        <w:t>ensuring both it and the CRO perform their duties in line with the Agreement.</w:t>
      </w:r>
    </w:p>
    <w:p w14:paraId="7CCCF4DA" w14:textId="39BD8B6A" w:rsidR="00A20F7E" w:rsidRPr="00F05F26" w:rsidRDefault="00A20F7E" w:rsidP="00A20F7E">
      <w:pPr>
        <w:ind w:left="567"/>
      </w:pPr>
      <w:r>
        <w:t xml:space="preserve">Participating </w:t>
      </w:r>
      <w:r w:rsidR="007F34A4">
        <w:t>NHS o</w:t>
      </w:r>
      <w:r>
        <w:t>rganisations</w:t>
      </w:r>
      <w:r w:rsidRPr="00F05F26">
        <w:t xml:space="preserve"> have an obligation to inform medical academics’ substantive employers, which are usually universities, about clinical trials in which they are to take part.</w:t>
      </w:r>
    </w:p>
    <w:p w14:paraId="5DDA559D" w14:textId="0D4859DE" w:rsidR="00A20F7E" w:rsidRPr="00F05F26" w:rsidRDefault="00A20F7E" w:rsidP="00A20F7E">
      <w:pPr>
        <w:ind w:left="567"/>
      </w:pPr>
      <w:r w:rsidRPr="00F05F26">
        <w:t xml:space="preserve">The </w:t>
      </w:r>
      <w:proofErr w:type="spellStart"/>
      <w:r w:rsidRPr="00F05F26">
        <w:t>mCTAs</w:t>
      </w:r>
      <w:proofErr w:type="spellEnd"/>
      <w:r w:rsidRPr="00F05F26">
        <w:t xml:space="preserve"> should not be modified to form a tripartite agreement with an academic institution as a third party. </w:t>
      </w:r>
      <w:r w:rsidR="003604E0" w:rsidRPr="00F05F26">
        <w:t>If</w:t>
      </w:r>
      <w:r w:rsidRPr="00F05F26">
        <w:t xml:space="preserve"> a </w:t>
      </w:r>
      <w:r>
        <w:t>Sponsor</w:t>
      </w:r>
      <w:r w:rsidRPr="00F05F26">
        <w:t xml:space="preserve"> has engaged a </w:t>
      </w:r>
      <w:r w:rsidR="00877E03">
        <w:t>CRO</w:t>
      </w:r>
      <w:r w:rsidRPr="00F05F26">
        <w:t xml:space="preserve"> to recruit and manage trial sites</w:t>
      </w:r>
      <w:r w:rsidR="00877E03">
        <w:t xml:space="preserve"> and the CRO will be a Party to the Agreement</w:t>
      </w:r>
      <w:r w:rsidRPr="00F05F26">
        <w:t>, the CRO-</w:t>
      </w:r>
      <w:proofErr w:type="spellStart"/>
      <w:r w:rsidRPr="00F05F26">
        <w:t>mCTA</w:t>
      </w:r>
      <w:proofErr w:type="spellEnd"/>
      <w:r w:rsidRPr="00F05F26">
        <w:t xml:space="preserve"> </w:t>
      </w:r>
      <w:r w:rsidR="0084542F">
        <w:t>may</w:t>
      </w:r>
      <w:r w:rsidR="0084542F" w:rsidRPr="00F05F26">
        <w:t xml:space="preserve"> </w:t>
      </w:r>
      <w:r w:rsidRPr="00F05F26">
        <w:t>be used.</w:t>
      </w:r>
    </w:p>
    <w:p w14:paraId="1C136325" w14:textId="2528849E" w:rsidR="00A20F7E" w:rsidRPr="00F05F26" w:rsidRDefault="00A20F7E" w:rsidP="00A20F7E">
      <w:pPr>
        <w:ind w:left="567"/>
      </w:pPr>
      <w:r w:rsidRPr="00F05F26">
        <w:t xml:space="preserve">In no case should a clinical trial </w:t>
      </w:r>
      <w:r>
        <w:t>Sponsor</w:t>
      </w:r>
      <w:r w:rsidRPr="00F05F26">
        <w:t xml:space="preserve"> </w:t>
      </w:r>
      <w:proofErr w:type="gramStart"/>
      <w:r w:rsidRPr="00F05F26">
        <w:t>enter into</w:t>
      </w:r>
      <w:proofErr w:type="gramEnd"/>
      <w:r w:rsidRPr="00F05F26">
        <w:t xml:space="preserve"> a contract with an individual employee of either a</w:t>
      </w:r>
      <w:r w:rsidR="003A4AE0">
        <w:t>n NHS o</w:t>
      </w:r>
      <w:r>
        <w:t>rganisation</w:t>
      </w:r>
      <w:r w:rsidRPr="00F05F26">
        <w:t xml:space="preserve"> or a university in a personal capacity to undertake a clinical trial involving NHS patients</w:t>
      </w:r>
      <w:r w:rsidR="003A4AE0">
        <w:t xml:space="preserve"> or healthy volunteers under NHS care</w:t>
      </w:r>
      <w:r w:rsidRPr="00F05F26">
        <w:t>.</w:t>
      </w:r>
      <w:r>
        <w:t xml:space="preserve"> This prohibition applies to contracts governing the conduct of clinical trials (including the </w:t>
      </w:r>
      <w:proofErr w:type="spellStart"/>
      <w:r>
        <w:t>mCTAs</w:t>
      </w:r>
      <w:proofErr w:type="spellEnd"/>
      <w:r>
        <w:t>). Chief Investigators may be separately contracted for their services either personally</w:t>
      </w:r>
      <w:r w:rsidR="00615202">
        <w:t xml:space="preserve"> (if acting in a personal, non-NHS capacity)</w:t>
      </w:r>
      <w:r>
        <w:t xml:space="preserve">, </w:t>
      </w:r>
      <w:r w:rsidR="00615202">
        <w:t xml:space="preserve">or </w:t>
      </w:r>
      <w:r>
        <w:t>via their employing organisation.</w:t>
      </w:r>
    </w:p>
    <w:p w14:paraId="42099AC0" w14:textId="30AAAE49" w:rsidR="00A20F7E" w:rsidRPr="00BA0115" w:rsidRDefault="00A20F7E" w:rsidP="00EF50C6">
      <w:pPr>
        <w:pStyle w:val="Normalnos"/>
      </w:pPr>
      <w:r w:rsidRPr="00E109D4">
        <w:t>Clause 2: Principal Investigator and Personnel</w:t>
      </w:r>
    </w:p>
    <w:p w14:paraId="37FC2212" w14:textId="1A178954" w:rsidR="00E109D4" w:rsidRPr="00F05F26" w:rsidRDefault="00E109D4" w:rsidP="00A20F7E">
      <w:pPr>
        <w:ind w:left="567"/>
      </w:pPr>
      <w:r w:rsidRPr="00F05F26">
        <w:t xml:space="preserve">The </w:t>
      </w:r>
      <w:r>
        <w:t>P</w:t>
      </w:r>
      <w:r w:rsidRPr="00F05F26">
        <w:t xml:space="preserve">rincipal </w:t>
      </w:r>
      <w:r>
        <w:t>I</w:t>
      </w:r>
      <w:r w:rsidRPr="00F05F26">
        <w:t xml:space="preserve">nvestigator is not to be a signatory to the </w:t>
      </w:r>
      <w:proofErr w:type="spellStart"/>
      <w:r w:rsidRPr="00F05F26">
        <w:t>mCTAs</w:t>
      </w:r>
      <w:proofErr w:type="spellEnd"/>
      <w:r w:rsidRPr="00F05F26">
        <w:t xml:space="preserve">. Clause 2 makes clear the obligation of the </w:t>
      </w:r>
      <w:r w:rsidR="001E0060">
        <w:t>Trial Site</w:t>
      </w:r>
      <w:r w:rsidRPr="00F05F26">
        <w:t xml:space="preserve"> to </w:t>
      </w:r>
      <w:r w:rsidR="00364A35">
        <w:t>procure</w:t>
      </w:r>
      <w:r w:rsidRPr="00F05F26">
        <w:t xml:space="preserve"> the performance of the </w:t>
      </w:r>
      <w:r>
        <w:t>P</w:t>
      </w:r>
      <w:r w:rsidRPr="00F05F26">
        <w:t xml:space="preserve">rincipal </w:t>
      </w:r>
      <w:r>
        <w:t>I</w:t>
      </w:r>
      <w:r w:rsidRPr="00F05F26">
        <w:t xml:space="preserve">nvestigator with respect to the </w:t>
      </w:r>
      <w:r w:rsidR="001E0060">
        <w:t>Trial Site’s</w:t>
      </w:r>
      <w:r w:rsidRPr="00F05F26">
        <w:t xml:space="preserve"> obligations under the Agreement. </w:t>
      </w:r>
      <w:r w:rsidR="004D1B65">
        <w:t>Since</w:t>
      </w:r>
      <w:r w:rsidRPr="00F05F26">
        <w:t xml:space="preserve"> the March 2020 version</w:t>
      </w:r>
      <w:r w:rsidR="00685FCE">
        <w:t>,</w:t>
      </w:r>
      <w:r w:rsidRPr="00F05F26">
        <w:t xml:space="preserve"> this obligation </w:t>
      </w:r>
      <w:r w:rsidR="004D1B65">
        <w:t>has</w:t>
      </w:r>
      <w:r w:rsidRPr="00F05F26">
        <w:t xml:space="preserve"> extend</w:t>
      </w:r>
      <w:r w:rsidR="004D1B65">
        <w:t>ed</w:t>
      </w:r>
      <w:r w:rsidRPr="00F05F26">
        <w:t xml:space="preserve"> to procuring the services of </w:t>
      </w:r>
      <w:r>
        <w:t>S</w:t>
      </w:r>
      <w:r w:rsidRPr="00F05F26">
        <w:t>ub-</w:t>
      </w:r>
      <w:r>
        <w:t>I</w:t>
      </w:r>
      <w:r w:rsidRPr="00F05F26">
        <w:t>nvestigators and other personnel</w:t>
      </w:r>
      <w:r w:rsidR="00F026C9">
        <w:t xml:space="preserve"> (which, from the May 2022 version </w:t>
      </w:r>
      <w:r w:rsidR="003C173E">
        <w:t xml:space="preserve">onwards </w:t>
      </w:r>
      <w:r w:rsidR="00F026C9">
        <w:t>may extend to include those at Other Trial Sites)</w:t>
      </w:r>
      <w:r w:rsidRPr="00F05F26">
        <w:t xml:space="preserve">. The </w:t>
      </w:r>
      <w:proofErr w:type="spellStart"/>
      <w:r w:rsidRPr="00F05F26">
        <w:t>mCTAs</w:t>
      </w:r>
      <w:proofErr w:type="spellEnd"/>
      <w:r w:rsidRPr="00F05F26">
        <w:t xml:space="preserve"> do not seek to amend the well-understood and established obligations of </w:t>
      </w:r>
      <w:r>
        <w:t>P</w:t>
      </w:r>
      <w:r w:rsidRPr="00F05F26">
        <w:t xml:space="preserve">rincipal </w:t>
      </w:r>
      <w:r>
        <w:t>I</w:t>
      </w:r>
      <w:r w:rsidRPr="00F05F26">
        <w:t xml:space="preserve">nvestigators. </w:t>
      </w:r>
      <w:r w:rsidR="00F026C9">
        <w:t xml:space="preserve">Trial Sites </w:t>
      </w:r>
      <w:r w:rsidRPr="00F05F26">
        <w:t xml:space="preserve">should bring these responsibilities to the attention of </w:t>
      </w:r>
      <w:r>
        <w:t>P</w:t>
      </w:r>
      <w:r w:rsidRPr="00F05F26">
        <w:t xml:space="preserve">rincipal </w:t>
      </w:r>
      <w:r>
        <w:t>I</w:t>
      </w:r>
      <w:r w:rsidRPr="00F05F26">
        <w:t xml:space="preserve">nvestigators </w:t>
      </w:r>
      <w:proofErr w:type="gramStart"/>
      <w:r w:rsidRPr="00F05F26">
        <w:t>in the course of</w:t>
      </w:r>
      <w:proofErr w:type="gramEnd"/>
      <w:r w:rsidRPr="00F05F26">
        <w:t xml:space="preserve"> research governance training.</w:t>
      </w:r>
    </w:p>
    <w:p w14:paraId="37ADDC7F" w14:textId="0E979043" w:rsidR="00E109D4" w:rsidRPr="00F05F26" w:rsidRDefault="00E109D4" w:rsidP="00A20F7E">
      <w:pPr>
        <w:ind w:left="567"/>
      </w:pPr>
      <w:r w:rsidRPr="00F05F26">
        <w:t xml:space="preserve">As the obligations of the </w:t>
      </w:r>
      <w:r w:rsidR="00F026C9">
        <w:t>Trial Site</w:t>
      </w:r>
      <w:r w:rsidRPr="00F05F26">
        <w:t xml:space="preserve"> will be fulfilled through the work of the </w:t>
      </w:r>
      <w:r>
        <w:t>P</w:t>
      </w:r>
      <w:r w:rsidRPr="00F05F26">
        <w:t xml:space="preserve">rincipal </w:t>
      </w:r>
      <w:r>
        <w:t>I</w:t>
      </w:r>
      <w:r w:rsidRPr="00F05F26">
        <w:t xml:space="preserve">nvestigator, it is important that the </w:t>
      </w:r>
      <w:r w:rsidR="00970F1B">
        <w:t>Trial Site</w:t>
      </w:r>
      <w:r w:rsidRPr="00F05F26">
        <w:t xml:space="preserve"> incorporates the obligations of the </w:t>
      </w:r>
      <w:r>
        <w:t>P</w:t>
      </w:r>
      <w:r w:rsidRPr="00F05F26">
        <w:t xml:space="preserve">rincipal </w:t>
      </w:r>
      <w:r>
        <w:t>I</w:t>
      </w:r>
      <w:r w:rsidRPr="00F05F26">
        <w:t xml:space="preserve">nvestigator and other investigators set out in the </w:t>
      </w:r>
      <w:proofErr w:type="spellStart"/>
      <w:r w:rsidRPr="00F05F26">
        <w:t>mCTAs</w:t>
      </w:r>
      <w:proofErr w:type="spellEnd"/>
      <w:r w:rsidRPr="00F05F26">
        <w:t xml:space="preserve">, into a separate agreement (in a form that is at the discretion of the </w:t>
      </w:r>
      <w:r w:rsidR="00970F1B">
        <w:t>Trial Site</w:t>
      </w:r>
      <w:r w:rsidRPr="00F05F26">
        <w:t xml:space="preserve">) between the </w:t>
      </w:r>
      <w:r w:rsidR="004C4506">
        <w:t>Trial Site</w:t>
      </w:r>
      <w:r w:rsidRPr="00F05F26">
        <w:t xml:space="preserve"> and the </w:t>
      </w:r>
      <w:r>
        <w:t>P</w:t>
      </w:r>
      <w:r w:rsidRPr="00F05F26">
        <w:t xml:space="preserve">rincipal </w:t>
      </w:r>
      <w:r>
        <w:t>I</w:t>
      </w:r>
      <w:r w:rsidRPr="00F05F26">
        <w:t>nvestigator.</w:t>
      </w:r>
    </w:p>
    <w:p w14:paraId="663D96F5" w14:textId="0D10F950" w:rsidR="00E109D4" w:rsidRPr="00F05F26" w:rsidRDefault="00E109D4" w:rsidP="00A20F7E">
      <w:pPr>
        <w:ind w:left="567"/>
      </w:pPr>
      <w:r w:rsidRPr="00F05F26">
        <w:t xml:space="preserve">It is prudent for the clinical trial activities to be included in the work plans of the </w:t>
      </w:r>
      <w:r w:rsidR="00467F5F">
        <w:t>P</w:t>
      </w:r>
      <w:r w:rsidRPr="00F05F26">
        <w:t xml:space="preserve">rincipal </w:t>
      </w:r>
      <w:r w:rsidR="00467F5F">
        <w:t>I</w:t>
      </w:r>
      <w:r w:rsidRPr="00F05F26">
        <w:t xml:space="preserve">nvestigator and any </w:t>
      </w:r>
      <w:r w:rsidR="00467F5F">
        <w:t>S</w:t>
      </w:r>
      <w:r w:rsidRPr="00F05F26">
        <w:t>ub-</w:t>
      </w:r>
      <w:r w:rsidR="00467F5F">
        <w:t>I</w:t>
      </w:r>
      <w:r w:rsidRPr="00F05F26">
        <w:t xml:space="preserve">nvestigators. The </w:t>
      </w:r>
      <w:r w:rsidR="00A713F3">
        <w:t>Trial Site</w:t>
      </w:r>
      <w:r w:rsidRPr="00F05F26">
        <w:t xml:space="preserve"> may seek assurances from the </w:t>
      </w:r>
      <w:r w:rsidR="00467F5F">
        <w:t>P</w:t>
      </w:r>
      <w:r w:rsidRPr="00F05F26">
        <w:t xml:space="preserve">rincipal </w:t>
      </w:r>
      <w:r w:rsidR="00467F5F">
        <w:t>I</w:t>
      </w:r>
      <w:r w:rsidRPr="00F05F26">
        <w:t xml:space="preserve">nvestigator and any </w:t>
      </w:r>
      <w:r w:rsidR="00467F5F">
        <w:t>S</w:t>
      </w:r>
      <w:r w:rsidRPr="00F05F26">
        <w:t>ub-</w:t>
      </w:r>
      <w:r w:rsidR="00467F5F">
        <w:t>I</w:t>
      </w:r>
      <w:r w:rsidRPr="00F05F26">
        <w:t xml:space="preserve">nvestigators to satisfy the conditions of the </w:t>
      </w:r>
      <w:proofErr w:type="spellStart"/>
      <w:r w:rsidRPr="00F05F26">
        <w:t>mCTAs</w:t>
      </w:r>
      <w:proofErr w:type="spellEnd"/>
      <w:r w:rsidRPr="00F05F26">
        <w:t>.</w:t>
      </w:r>
    </w:p>
    <w:p w14:paraId="16B3106A" w14:textId="0F36E3C2" w:rsidR="00BA0115" w:rsidRPr="00BA0115" w:rsidRDefault="00BA0115" w:rsidP="00EF50C6">
      <w:pPr>
        <w:pStyle w:val="Normalnos"/>
      </w:pPr>
      <w:r w:rsidRPr="00467F5F">
        <w:t>Clause 2.5: Attendance at Investigator Meetings and Reimbursement of</w:t>
      </w:r>
      <w:r w:rsidRPr="008B39DD">
        <w:t xml:space="preserve"> </w:t>
      </w:r>
      <w:r w:rsidRPr="00467F5F">
        <w:t>Expenses</w:t>
      </w:r>
    </w:p>
    <w:p w14:paraId="6D7A570B" w14:textId="325AAC63" w:rsidR="00467F5F" w:rsidRDefault="00467F5F" w:rsidP="00BA0115">
      <w:pPr>
        <w:ind w:left="567"/>
      </w:pPr>
      <w:r w:rsidRPr="008B39DD">
        <w:t xml:space="preserve">Clause 2.5 sets out an obligation on the </w:t>
      </w:r>
      <w:r>
        <w:t>P</w:t>
      </w:r>
      <w:r w:rsidRPr="008B39DD">
        <w:t xml:space="preserve">rincipal </w:t>
      </w:r>
      <w:r>
        <w:t>I</w:t>
      </w:r>
      <w:r w:rsidRPr="008B39DD">
        <w:t>nvestigator and</w:t>
      </w:r>
      <w:r w:rsidR="00156124">
        <w:t xml:space="preserve"> </w:t>
      </w:r>
      <w:r w:rsidRPr="008B39DD">
        <w:t>/</w:t>
      </w:r>
      <w:r w:rsidR="00156124">
        <w:t xml:space="preserve"> </w:t>
      </w:r>
      <w:r w:rsidRPr="008B39DD">
        <w:t xml:space="preserve">or the personnel to attend meetings reasonably requested by the </w:t>
      </w:r>
      <w:r w:rsidR="001D09C8">
        <w:t>Sponsor</w:t>
      </w:r>
      <w:r w:rsidRPr="008B39DD">
        <w:t xml:space="preserve"> (or CRO). It should be noted that no compensation will be paid for attendance at such </w:t>
      </w:r>
      <w:r w:rsidRPr="008B39DD">
        <w:lastRenderedPageBreak/>
        <w:t xml:space="preserve">meetings and any </w:t>
      </w:r>
      <w:r w:rsidR="00156124">
        <w:t>E</w:t>
      </w:r>
      <w:r w:rsidRPr="008B39DD">
        <w:t xml:space="preserve">xpenses incurred will be paid at the rate of fair market value, subject to documentation evidencing the </w:t>
      </w:r>
      <w:r w:rsidR="00156124">
        <w:t>E</w:t>
      </w:r>
      <w:r w:rsidRPr="008B39DD">
        <w:t>xpenses incurred being in sufficient detail</w:t>
      </w:r>
      <w:r w:rsidR="005A49E0">
        <w:t xml:space="preserve"> </w:t>
      </w:r>
      <w:r w:rsidRPr="008B39DD">
        <w:t xml:space="preserve">for the </w:t>
      </w:r>
      <w:r w:rsidR="001D09C8">
        <w:t>Sponsor</w:t>
      </w:r>
      <w:r w:rsidRPr="008B39DD">
        <w:t xml:space="preserve">’s financial reporting purposes (or those of the CRO, as applicable), </w:t>
      </w:r>
      <w:proofErr w:type="gramStart"/>
      <w:r w:rsidRPr="008B39DD">
        <w:t>provided that</w:t>
      </w:r>
      <w:proofErr w:type="gramEnd"/>
      <w:r w:rsidRPr="008B39DD">
        <w:t xml:space="preserve"> this is not overly burdensome for the </w:t>
      </w:r>
      <w:r w:rsidR="00CF2533">
        <w:t>Trial Site</w:t>
      </w:r>
      <w:r w:rsidRPr="008B39DD">
        <w:t>.</w:t>
      </w:r>
    </w:p>
    <w:p w14:paraId="69E632CC" w14:textId="68874764" w:rsidR="00BA0115" w:rsidRPr="00BA0115" w:rsidRDefault="00BA0115" w:rsidP="00EF50C6">
      <w:pPr>
        <w:pStyle w:val="Normalnos"/>
      </w:pPr>
      <w:r w:rsidRPr="00467F5F">
        <w:t xml:space="preserve">Clause 3.2 </w:t>
      </w:r>
      <w:r>
        <w:t>and</w:t>
      </w:r>
      <w:r w:rsidRPr="00467F5F">
        <w:t xml:space="preserve"> 3.3: Governance</w:t>
      </w:r>
    </w:p>
    <w:p w14:paraId="4F95F227" w14:textId="730D7845" w:rsidR="00BA0115" w:rsidRPr="008B39DD" w:rsidRDefault="00BA0115" w:rsidP="00BA0115">
      <w:pPr>
        <w:ind w:left="567"/>
      </w:pPr>
      <w:r w:rsidRPr="008B39DD">
        <w:t xml:space="preserve">These Clauses set out the minimum compliance requirements for the conduct of trials, including in respect of </w:t>
      </w:r>
      <w:r>
        <w:t>domestic</w:t>
      </w:r>
      <w:r w:rsidRPr="008B39DD">
        <w:t xml:space="preserve"> law and </w:t>
      </w:r>
      <w:r>
        <w:t>investigational new drug (</w:t>
      </w:r>
      <w:r w:rsidRPr="008B39DD">
        <w:t>IND</w:t>
      </w:r>
      <w:r>
        <w:t>)</w:t>
      </w:r>
      <w:r w:rsidRPr="008B39DD">
        <w:t xml:space="preserve"> in respect of trials conducted by US companies. However</w:t>
      </w:r>
      <w:r>
        <w:t>,</w:t>
      </w:r>
      <w:r w:rsidRPr="008B39DD">
        <w:t xml:space="preserve"> it is essential that </w:t>
      </w:r>
      <w:r>
        <w:t>Sponsors</w:t>
      </w:r>
      <w:r w:rsidRPr="008B39DD">
        <w:t xml:space="preserve"> (or CROs, where applicable) notify </w:t>
      </w:r>
      <w:r w:rsidR="005C4591">
        <w:t>Trial Sites</w:t>
      </w:r>
      <w:r w:rsidRPr="008B39DD">
        <w:t xml:space="preserve"> of specific requirements that relate to the performance of trials and that arise from such laws.</w:t>
      </w:r>
    </w:p>
    <w:p w14:paraId="55FB74DB" w14:textId="5E8E81A7" w:rsidR="00BA0115" w:rsidRPr="00BA0115" w:rsidRDefault="00BA0115" w:rsidP="00EF50C6">
      <w:pPr>
        <w:pStyle w:val="Normalnos"/>
      </w:pPr>
      <w:r w:rsidRPr="00467F5F">
        <w:t>Clause 3.3.7</w:t>
      </w:r>
      <w:r>
        <w:t>:</w:t>
      </w:r>
      <w:r w:rsidRPr="00467F5F">
        <w:t xml:space="preserve"> WHO Ethical Principles</w:t>
      </w:r>
    </w:p>
    <w:p w14:paraId="75E8ADB4" w14:textId="77777777" w:rsidR="00BA0115" w:rsidRPr="008B39DD" w:rsidRDefault="00BA0115" w:rsidP="00BA0115">
      <w:pPr>
        <w:ind w:left="567"/>
      </w:pPr>
      <w:r w:rsidRPr="008B39DD">
        <w:t xml:space="preserve">This reference to the WHO Ethical Principles is intended for use where the clinical trial involves transplantation of human cells, </w:t>
      </w:r>
      <w:proofErr w:type="gramStart"/>
      <w:r w:rsidRPr="008B39DD">
        <w:t>tissue</w:t>
      </w:r>
      <w:proofErr w:type="gramEnd"/>
      <w:r w:rsidRPr="008B39DD">
        <w:t xml:space="preserve"> or organs. It is an optional reference</w:t>
      </w:r>
      <w:r>
        <w:t>,</w:t>
      </w:r>
      <w:r w:rsidRPr="008B39DD">
        <w:t xml:space="preserve"> to be deleted if not applicable to the Clinical Trial.</w:t>
      </w:r>
    </w:p>
    <w:p w14:paraId="5DF3250A" w14:textId="40804DCF" w:rsidR="00BA0115" w:rsidRPr="00D802A7" w:rsidRDefault="00BA0115" w:rsidP="00EF50C6">
      <w:pPr>
        <w:pStyle w:val="Normalnos"/>
      </w:pPr>
      <w:r w:rsidRPr="00467F5F">
        <w:t>Clause 3.</w:t>
      </w:r>
      <w:r w:rsidR="001D7066">
        <w:t>6</w:t>
      </w:r>
      <w:r w:rsidRPr="00467F5F">
        <w:t>.1: Adverse Event Reporting</w:t>
      </w:r>
    </w:p>
    <w:p w14:paraId="1535E17B" w14:textId="21E4DD9B" w:rsidR="00D802A7" w:rsidRPr="00FC2AD1" w:rsidRDefault="00D802A7" w:rsidP="00D802A7">
      <w:pPr>
        <w:pStyle w:val="ListParagraph"/>
        <w:numPr>
          <w:ilvl w:val="0"/>
          <w:numId w:val="0"/>
        </w:numPr>
        <w:ind w:left="567"/>
      </w:pPr>
      <w:r w:rsidRPr="008B39DD">
        <w:t xml:space="preserve">To facilitate use of the </w:t>
      </w:r>
      <w:proofErr w:type="spellStart"/>
      <w:r w:rsidRPr="008B39DD">
        <w:t>mCTAs</w:t>
      </w:r>
      <w:proofErr w:type="spellEnd"/>
      <w:r w:rsidRPr="008B39DD">
        <w:t xml:space="preserve"> for Phase I trials in NHS patients</w:t>
      </w:r>
      <w:r>
        <w:t xml:space="preserve"> or healthy volunteers under NHS care</w:t>
      </w:r>
      <w:r w:rsidRPr="008B39DD">
        <w:t xml:space="preserve">, </w:t>
      </w:r>
      <w:r>
        <w:t>C</w:t>
      </w:r>
      <w:r w:rsidRPr="008B39DD">
        <w:t xml:space="preserve">lauses setting out obligations in relation to adverse event reporting have been included. These </w:t>
      </w:r>
      <w:r w:rsidR="00326939">
        <w:t>c</w:t>
      </w:r>
      <w:r w:rsidRPr="008B39DD">
        <w:t xml:space="preserve">lauses </w:t>
      </w:r>
      <w:r>
        <w:t>are only</w:t>
      </w:r>
      <w:r w:rsidRPr="008B39DD">
        <w:t xml:space="preserve"> applicable where the Clinical Trial is a Phase I </w:t>
      </w:r>
      <w:r w:rsidR="00326939">
        <w:t>c</w:t>
      </w:r>
      <w:r w:rsidRPr="008B39DD">
        <w:t xml:space="preserve">linical </w:t>
      </w:r>
      <w:r w:rsidR="00326939">
        <w:t>t</w:t>
      </w:r>
      <w:r w:rsidRPr="008B39DD">
        <w:t xml:space="preserve">rial </w:t>
      </w:r>
      <w:r>
        <w:t>and</w:t>
      </w:r>
      <w:r w:rsidRPr="008B39DD">
        <w:t xml:space="preserve"> should be deleted if not applicable. </w:t>
      </w:r>
    </w:p>
    <w:p w14:paraId="7533FE0A" w14:textId="71ACB9A9" w:rsidR="00426468" w:rsidRPr="00D802A7" w:rsidRDefault="00FC2AD1" w:rsidP="00EF50C6">
      <w:pPr>
        <w:pStyle w:val="Normalnos"/>
      </w:pPr>
      <w:r w:rsidRPr="00EF50C6">
        <w:t>Clause</w:t>
      </w:r>
      <w:r>
        <w:t xml:space="preserve"> 3.6.2: </w:t>
      </w:r>
      <w:r w:rsidR="00426468">
        <w:t>Quality Control of Data in Phase I Dose Escalation Trials</w:t>
      </w:r>
    </w:p>
    <w:p w14:paraId="0A5B6A08" w14:textId="02B18E9E" w:rsidR="00D802A7" w:rsidRPr="00BA0115" w:rsidRDefault="0027148A" w:rsidP="0027148A">
      <w:pPr>
        <w:pStyle w:val="ListParagraph"/>
        <w:numPr>
          <w:ilvl w:val="0"/>
          <w:numId w:val="0"/>
        </w:numPr>
        <w:ind w:left="567"/>
      </w:pPr>
      <w:r w:rsidRPr="008B39DD">
        <w:t xml:space="preserve">To facilitate use of the </w:t>
      </w:r>
      <w:proofErr w:type="spellStart"/>
      <w:r w:rsidRPr="008B39DD">
        <w:t>mCTAs</w:t>
      </w:r>
      <w:proofErr w:type="spellEnd"/>
      <w:r w:rsidRPr="008B39DD">
        <w:t xml:space="preserve"> for Phase I </w:t>
      </w:r>
      <w:r w:rsidR="00D845E7">
        <w:t xml:space="preserve">dose escalation </w:t>
      </w:r>
      <w:r w:rsidRPr="008B39DD">
        <w:t>trials in NHS patients</w:t>
      </w:r>
      <w:r>
        <w:t xml:space="preserve"> or healthy volunteers under NHS care</w:t>
      </w:r>
      <w:r w:rsidRPr="008B39DD">
        <w:t xml:space="preserve">, </w:t>
      </w:r>
      <w:r w:rsidR="00074E48">
        <w:t>a c</w:t>
      </w:r>
      <w:r w:rsidRPr="008B39DD">
        <w:t>lause setting out obligations in relation to adverse event reporting ha</w:t>
      </w:r>
      <w:r w:rsidR="00074E48">
        <w:t>s</w:t>
      </w:r>
      <w:r w:rsidRPr="008B39DD">
        <w:t xml:space="preserve"> been included. Th</w:t>
      </w:r>
      <w:r w:rsidR="00074E48">
        <w:t>is c</w:t>
      </w:r>
      <w:r w:rsidRPr="008B39DD">
        <w:t xml:space="preserve">lause </w:t>
      </w:r>
      <w:r w:rsidR="00074E48">
        <w:t>is</w:t>
      </w:r>
      <w:r>
        <w:t xml:space="preserve"> only</w:t>
      </w:r>
      <w:r w:rsidRPr="008B39DD">
        <w:t xml:space="preserve"> applicable where the Clinical Trial is a Phase I </w:t>
      </w:r>
      <w:r w:rsidR="00074E48">
        <w:t>dose escalation c</w:t>
      </w:r>
      <w:r w:rsidRPr="008B39DD">
        <w:t xml:space="preserve">linical </w:t>
      </w:r>
      <w:r w:rsidR="00074E48">
        <w:t>t</w:t>
      </w:r>
      <w:r w:rsidRPr="008B39DD">
        <w:t xml:space="preserve">rial </w:t>
      </w:r>
      <w:r>
        <w:t>and</w:t>
      </w:r>
      <w:r w:rsidRPr="008B39DD">
        <w:t xml:space="preserve"> should be deleted if not applicable. </w:t>
      </w:r>
    </w:p>
    <w:p w14:paraId="733A04D0" w14:textId="4A29CF0D" w:rsidR="00BA0115" w:rsidRPr="00BA0115" w:rsidRDefault="00BA0115" w:rsidP="00EF50C6">
      <w:pPr>
        <w:pStyle w:val="Normalnos"/>
      </w:pPr>
      <w:r w:rsidRPr="00E83A74">
        <w:t>Clause 3.</w:t>
      </w:r>
      <w:r w:rsidR="00FC2AD1">
        <w:t>7</w:t>
      </w:r>
      <w:r w:rsidRPr="00E83A74">
        <w:t>: Anti-Bribery and Corruption</w:t>
      </w:r>
    </w:p>
    <w:p w14:paraId="1184CC7B" w14:textId="64B0E5C5" w:rsidR="00BA0115" w:rsidRPr="00FD7F92" w:rsidRDefault="00BA0115" w:rsidP="00BA0115">
      <w:pPr>
        <w:ind w:left="567"/>
      </w:pPr>
      <w:r>
        <w:t xml:space="preserve">Modifications to this </w:t>
      </w:r>
      <w:r w:rsidR="00F915A7">
        <w:t>c</w:t>
      </w:r>
      <w:r>
        <w:t>lause to reference the Foreign and Corrupt Practises Act of the USA, or any other foreign law, should not be proposed and will not be agreed. Compliance with the Bribery Act 2010 should provide adequate assurance to foreign Sponsors (and CROs) in relation to their own compliance with foreign law.</w:t>
      </w:r>
    </w:p>
    <w:p w14:paraId="00920B28" w14:textId="7D203305" w:rsidR="00BA0115" w:rsidRPr="00BA0115" w:rsidRDefault="00BA0115" w:rsidP="00EF50C6">
      <w:pPr>
        <w:pStyle w:val="Normalnos"/>
      </w:pPr>
      <w:proofErr w:type="spellStart"/>
      <w:r>
        <w:t>mCTA</w:t>
      </w:r>
      <w:proofErr w:type="spellEnd"/>
      <w:r>
        <w:t xml:space="preserve"> </w:t>
      </w:r>
      <w:r w:rsidRPr="00467F5F">
        <w:t>Clause 4.</w:t>
      </w:r>
      <w:r w:rsidR="000E06C3">
        <w:t>8</w:t>
      </w:r>
      <w:r>
        <w:t xml:space="preserve"> (CRO-</w:t>
      </w:r>
      <w:proofErr w:type="spellStart"/>
      <w:r>
        <w:t>mCTA</w:t>
      </w:r>
      <w:proofErr w:type="spellEnd"/>
      <w:r>
        <w:t xml:space="preserve"> Clause 4.</w:t>
      </w:r>
      <w:r w:rsidR="000E06C3">
        <w:t>9</w:t>
      </w:r>
      <w:r>
        <w:t>)</w:t>
      </w:r>
      <w:r w:rsidRPr="00467F5F">
        <w:t xml:space="preserve">: No Supply of Investigational Drugs by the </w:t>
      </w:r>
      <w:r>
        <w:t>Sponsor (or CRO)</w:t>
      </w:r>
      <w:r w:rsidRPr="00467F5F">
        <w:t xml:space="preserve"> Prior to Approval</w:t>
      </w:r>
    </w:p>
    <w:p w14:paraId="730322EA" w14:textId="0FC9E022" w:rsidR="00BA0115" w:rsidRPr="00BA0115" w:rsidRDefault="00BA0115" w:rsidP="00BA0115">
      <w:pPr>
        <w:ind w:left="567"/>
      </w:pPr>
      <w:r w:rsidRPr="008B39DD">
        <w:t>Clause 4.</w:t>
      </w:r>
      <w:r w:rsidR="000E06C3">
        <w:t>8</w:t>
      </w:r>
      <w:r w:rsidRPr="008B39DD">
        <w:t xml:space="preserve"> </w:t>
      </w:r>
      <w:r>
        <w:t>(CRO-</w:t>
      </w:r>
      <w:proofErr w:type="spellStart"/>
      <w:r>
        <w:t>mCTA</w:t>
      </w:r>
      <w:proofErr w:type="spellEnd"/>
      <w:r>
        <w:t xml:space="preserve"> Clause 4.</w:t>
      </w:r>
      <w:r w:rsidR="000E06C3">
        <w:t>9</w:t>
      </w:r>
      <w:r>
        <w:t xml:space="preserve">) </w:t>
      </w:r>
      <w:r w:rsidRPr="008B39DD">
        <w:t xml:space="preserve">requires </w:t>
      </w:r>
      <w:r>
        <w:t>Sponsors</w:t>
      </w:r>
      <w:r w:rsidRPr="008B39DD">
        <w:t xml:space="preserve"> (and CROs, as applicable) to delay supply of </w:t>
      </w:r>
      <w:r w:rsidR="004A1B0F">
        <w:t>I</w:t>
      </w:r>
      <w:r w:rsidRPr="008B39DD">
        <w:t xml:space="preserve">nvestigational </w:t>
      </w:r>
      <w:r w:rsidR="004A1B0F">
        <w:t>D</w:t>
      </w:r>
      <w:r w:rsidRPr="008B39DD">
        <w:t xml:space="preserve">rugs supplied by the </w:t>
      </w:r>
      <w:r>
        <w:t>Sponsor</w:t>
      </w:r>
      <w:r w:rsidRPr="008B39DD">
        <w:t xml:space="preserve"> </w:t>
      </w:r>
      <w:r w:rsidR="000B7F2E" w:rsidRPr="008B39DD">
        <w:t xml:space="preserve">to the </w:t>
      </w:r>
      <w:r w:rsidR="000B7F2E">
        <w:t>Trial Site,</w:t>
      </w:r>
      <w:r w:rsidR="000B7F2E" w:rsidRPr="008B39DD">
        <w:t xml:space="preserve"> </w:t>
      </w:r>
      <w:r w:rsidR="0025159B">
        <w:t>and/or to withhold authorisation</w:t>
      </w:r>
      <w:r w:rsidR="000B7F2E">
        <w:t xml:space="preserve"> to the Trial Site to use the Trial Site’s own stock </w:t>
      </w:r>
      <w:r w:rsidR="00EF1B7D">
        <w:t xml:space="preserve">as </w:t>
      </w:r>
      <w:r w:rsidR="004A1B0F">
        <w:t>I</w:t>
      </w:r>
      <w:r w:rsidR="00EF1B7D">
        <w:t xml:space="preserve">nvestigational </w:t>
      </w:r>
      <w:r w:rsidR="004A1B0F">
        <w:t>D</w:t>
      </w:r>
      <w:r w:rsidR="00EF1B7D">
        <w:t xml:space="preserve">rugs for the purpose of the </w:t>
      </w:r>
      <w:r w:rsidR="004A1B0F">
        <w:t>C</w:t>
      </w:r>
      <w:r w:rsidR="00EF1B7D">
        <w:t xml:space="preserve">linical </w:t>
      </w:r>
      <w:r w:rsidR="004A1B0F">
        <w:t>T</w:t>
      </w:r>
      <w:r w:rsidR="00EF1B7D">
        <w:t>rial</w:t>
      </w:r>
      <w:r w:rsidRPr="008B39DD">
        <w:t xml:space="preserve">, until all regulatory and ethics approvals have been obtained. There is an obligation on the </w:t>
      </w:r>
      <w:r w:rsidR="0036156F">
        <w:t>Trial Site</w:t>
      </w:r>
      <w:r w:rsidRPr="008B39DD">
        <w:t xml:space="preserve"> to ensure that no clinical interventions </w:t>
      </w:r>
      <w:r w:rsidR="0036156F">
        <w:t>arising from</w:t>
      </w:r>
      <w:r w:rsidRPr="008B39DD">
        <w:t xml:space="preserve"> the </w:t>
      </w:r>
      <w:r>
        <w:t>Protocol</w:t>
      </w:r>
      <w:r w:rsidRPr="008B39DD">
        <w:t xml:space="preserve"> take place before receipt of </w:t>
      </w:r>
      <w:r w:rsidR="004638C3">
        <w:t>all relevant</w:t>
      </w:r>
      <w:r w:rsidRPr="008B39DD">
        <w:t xml:space="preserve"> approval</w:t>
      </w:r>
      <w:r w:rsidR="004638C3">
        <w:t>s</w:t>
      </w:r>
      <w:r w:rsidRPr="008B39DD">
        <w:t>.</w:t>
      </w:r>
    </w:p>
    <w:p w14:paraId="31441751" w14:textId="0439DD65" w:rsidR="00BA0115" w:rsidRPr="00BA0115" w:rsidRDefault="00BA0115" w:rsidP="00EF50C6">
      <w:pPr>
        <w:pStyle w:val="Normalnos"/>
      </w:pPr>
      <w:proofErr w:type="spellStart"/>
      <w:r w:rsidRPr="00467F5F">
        <w:t>mCTA</w:t>
      </w:r>
      <w:proofErr w:type="spellEnd"/>
      <w:r w:rsidRPr="00467F5F">
        <w:t xml:space="preserve"> Clause 4.1</w:t>
      </w:r>
      <w:r w:rsidR="00A05474">
        <w:t>3</w:t>
      </w:r>
      <w:r w:rsidRPr="00467F5F">
        <w:t xml:space="preserve"> (CRO-</w:t>
      </w:r>
      <w:proofErr w:type="spellStart"/>
      <w:r w:rsidRPr="00467F5F">
        <w:t>mCTA</w:t>
      </w:r>
      <w:proofErr w:type="spellEnd"/>
      <w:r w:rsidRPr="00467F5F">
        <w:t xml:space="preserve"> 4.1</w:t>
      </w:r>
      <w:r w:rsidR="00A05474">
        <w:t>4</w:t>
      </w:r>
      <w:r w:rsidRPr="00467F5F">
        <w:t>)</w:t>
      </w:r>
    </w:p>
    <w:p w14:paraId="274B4F88" w14:textId="6151C352" w:rsidR="00BA0115" w:rsidRDefault="00BA0115" w:rsidP="00BA0115">
      <w:pPr>
        <w:ind w:left="567"/>
      </w:pPr>
      <w:r w:rsidRPr="008B39DD">
        <w:lastRenderedPageBreak/>
        <w:t xml:space="preserve">Reflecting different types of clinical trial and differing </w:t>
      </w:r>
      <w:r>
        <w:t>Sponsor</w:t>
      </w:r>
      <w:r w:rsidRPr="008B39DD">
        <w:t xml:space="preserve"> requirements, </w:t>
      </w:r>
      <w:proofErr w:type="spellStart"/>
      <w:r>
        <w:t>mCTA</w:t>
      </w:r>
      <w:proofErr w:type="spellEnd"/>
      <w:r>
        <w:t xml:space="preserve"> </w:t>
      </w:r>
      <w:r w:rsidRPr="008B39DD">
        <w:t>4.1</w:t>
      </w:r>
      <w:r w:rsidR="00A05474">
        <w:t>3</w:t>
      </w:r>
      <w:r>
        <w:t xml:space="preserve"> (CRO-</w:t>
      </w:r>
      <w:proofErr w:type="spellStart"/>
      <w:r>
        <w:t>mCTA</w:t>
      </w:r>
      <w:proofErr w:type="spellEnd"/>
      <w:r>
        <w:t xml:space="preserve"> 4.1</w:t>
      </w:r>
      <w:r w:rsidR="00A05474">
        <w:t>4</w:t>
      </w:r>
      <w:r>
        <w:t>)</w:t>
      </w:r>
      <w:r w:rsidRPr="008B39DD">
        <w:t xml:space="preserve"> requires that the </w:t>
      </w:r>
      <w:r>
        <w:t>Sponsor</w:t>
      </w:r>
      <w:r w:rsidRPr="008B39DD">
        <w:t xml:space="preserve"> specifies whether the local recruitment target should be expressed as number(s) enrol</w:t>
      </w:r>
      <w:r>
        <w:t>l</w:t>
      </w:r>
      <w:r w:rsidRPr="008B39DD">
        <w:t xml:space="preserve">ed, </w:t>
      </w:r>
      <w:proofErr w:type="gramStart"/>
      <w:r w:rsidRPr="008B39DD">
        <w:t>dosed</w:t>
      </w:r>
      <w:proofErr w:type="gramEnd"/>
      <w:r w:rsidRPr="008B39DD">
        <w:t xml:space="preserve"> or randomised. Enro</w:t>
      </w:r>
      <w:r>
        <w:t>l</w:t>
      </w:r>
      <w:r w:rsidRPr="008B39DD">
        <w:t xml:space="preserve">led means that the </w:t>
      </w:r>
      <w:r w:rsidR="00DF22CF">
        <w:t>Participant</w:t>
      </w:r>
      <w:r w:rsidRPr="008B39DD">
        <w:t xml:space="preserve"> has consented to be a participant in the clinical trial. Dosed means that the </w:t>
      </w:r>
      <w:r w:rsidR="00DF22CF">
        <w:t>Participant</w:t>
      </w:r>
      <w:r w:rsidRPr="008B39DD">
        <w:t xml:space="preserve"> has received their first dose of Investigational Drug. Randomised means that the </w:t>
      </w:r>
      <w:r w:rsidR="00DF22CF">
        <w:t>Participant</w:t>
      </w:r>
      <w:r w:rsidRPr="008B39DD">
        <w:t xml:space="preserve"> has been randomised to an arm of the study, or equivalent, in accordance with the </w:t>
      </w:r>
      <w:r>
        <w:t>Protocol</w:t>
      </w:r>
      <w:r w:rsidRPr="008B39DD">
        <w:t>.</w:t>
      </w:r>
      <w:r w:rsidR="009B5903">
        <w:t xml:space="preserve"> The local recruitment target is specified either a) as an agreed number of participants or b) as a minimum agreed number of participants</w:t>
      </w:r>
      <w:r w:rsidR="00000C92" w:rsidRPr="00000C92">
        <w:t xml:space="preserve"> </w:t>
      </w:r>
      <w:r w:rsidR="00000C92">
        <w:t xml:space="preserve">to aim to enrol, dose or randomise. Target ranges of participants to be enrolled, </w:t>
      </w:r>
      <w:proofErr w:type="gramStart"/>
      <w:r w:rsidR="00000C92">
        <w:t>dosed</w:t>
      </w:r>
      <w:proofErr w:type="gramEnd"/>
      <w:r w:rsidR="00000C92">
        <w:t xml:space="preserve"> or randomised are not acceptable.</w:t>
      </w:r>
    </w:p>
    <w:p w14:paraId="1076A29C" w14:textId="741467F7" w:rsidR="00BA0115" w:rsidRPr="003A6A81" w:rsidRDefault="00BA0115" w:rsidP="00EF50C6">
      <w:pPr>
        <w:pStyle w:val="Normalnos"/>
      </w:pPr>
      <w:proofErr w:type="spellStart"/>
      <w:r w:rsidRPr="00467F5F">
        <w:t>mCTA</w:t>
      </w:r>
      <w:proofErr w:type="spellEnd"/>
      <w:r w:rsidRPr="00467F5F">
        <w:t xml:space="preserve"> Clause 4.1</w:t>
      </w:r>
      <w:r w:rsidR="00501F89">
        <w:t>4</w:t>
      </w:r>
      <w:r w:rsidRPr="00467F5F">
        <w:t>.2 (CRO-</w:t>
      </w:r>
      <w:proofErr w:type="spellStart"/>
      <w:r w:rsidRPr="00467F5F">
        <w:t>mCTA</w:t>
      </w:r>
      <w:proofErr w:type="spellEnd"/>
      <w:r w:rsidRPr="00467F5F">
        <w:t xml:space="preserve"> 4.1</w:t>
      </w:r>
      <w:r w:rsidR="00501F89">
        <w:t>5</w:t>
      </w:r>
      <w:r w:rsidRPr="00467F5F">
        <w:t>.2)</w:t>
      </w:r>
      <w:r>
        <w:t>:</w:t>
      </w:r>
      <w:r w:rsidRPr="00467F5F">
        <w:t xml:space="preserve"> Enrolment Targets</w:t>
      </w:r>
    </w:p>
    <w:p w14:paraId="5BF4AD97" w14:textId="5D2B14E4" w:rsidR="003A6A81" w:rsidRPr="00023B71" w:rsidRDefault="003A6A81" w:rsidP="003A6A81">
      <w:pPr>
        <w:pStyle w:val="ListParagraph"/>
        <w:numPr>
          <w:ilvl w:val="0"/>
          <w:numId w:val="0"/>
        </w:numPr>
        <w:ind w:left="567"/>
      </w:pPr>
      <w:proofErr w:type="spellStart"/>
      <w:r w:rsidRPr="008B39DD">
        <w:t>mCTA</w:t>
      </w:r>
      <w:proofErr w:type="spellEnd"/>
      <w:r w:rsidRPr="008B39DD">
        <w:t xml:space="preserve"> Clause 4.1</w:t>
      </w:r>
      <w:r w:rsidR="00501F89">
        <w:t>4</w:t>
      </w:r>
      <w:r w:rsidRPr="008B39DD">
        <w:t>.2 (CRO-</w:t>
      </w:r>
      <w:proofErr w:type="spellStart"/>
      <w:r w:rsidRPr="008B39DD">
        <w:t>mCTA</w:t>
      </w:r>
      <w:proofErr w:type="spellEnd"/>
      <w:r w:rsidRPr="008B39DD">
        <w:t xml:space="preserve"> Clause 4.1</w:t>
      </w:r>
      <w:r w:rsidR="00501F89">
        <w:t>5</w:t>
      </w:r>
      <w:r w:rsidRPr="008B39DD">
        <w:t xml:space="preserve">.2) makes clear that payment will only be made for </w:t>
      </w:r>
      <w:r w:rsidR="00424537">
        <w:t>P</w:t>
      </w:r>
      <w:r w:rsidR="00DF22CF">
        <w:t>articipants</w:t>
      </w:r>
      <w:r w:rsidRPr="008B39DD">
        <w:t xml:space="preserve"> who have been enrolled into the </w:t>
      </w:r>
      <w:r w:rsidR="00DF22CF">
        <w:t>C</w:t>
      </w:r>
      <w:r w:rsidRPr="008B39DD">
        <w:t xml:space="preserve">linical </w:t>
      </w:r>
      <w:r w:rsidR="00DF22CF">
        <w:t>T</w:t>
      </w:r>
      <w:r w:rsidRPr="008B39DD">
        <w:t>rial prior to the date of receipt of the notice.</w:t>
      </w:r>
    </w:p>
    <w:p w14:paraId="5043B43C" w14:textId="725E9E90" w:rsidR="00BB5F5F" w:rsidRPr="00BB5F5F" w:rsidRDefault="00BB5F5F" w:rsidP="00EF50C6">
      <w:pPr>
        <w:pStyle w:val="Normalnos"/>
      </w:pPr>
      <w:proofErr w:type="spellStart"/>
      <w:r w:rsidRPr="00ED0B49">
        <w:t>mCTA</w:t>
      </w:r>
      <w:proofErr w:type="spellEnd"/>
      <w:r w:rsidRPr="00ED0B49">
        <w:t xml:space="preserve"> Clause 4.1</w:t>
      </w:r>
      <w:r w:rsidR="00501F89">
        <w:t>6</w:t>
      </w:r>
      <w:r w:rsidRPr="00ED0B49">
        <w:t xml:space="preserve"> (CRO-</w:t>
      </w:r>
      <w:proofErr w:type="spellStart"/>
      <w:r w:rsidRPr="00ED0B49">
        <w:t>mCTA</w:t>
      </w:r>
      <w:proofErr w:type="spellEnd"/>
      <w:r w:rsidRPr="00ED0B49">
        <w:t xml:space="preserve"> Clause 4.1</w:t>
      </w:r>
      <w:r w:rsidR="00501F89">
        <w:t>7</w:t>
      </w:r>
      <w:r w:rsidRPr="00ED0B49">
        <w:t>)</w:t>
      </w:r>
      <w:r>
        <w:t>:</w:t>
      </w:r>
      <w:r w:rsidRPr="00ED0B49">
        <w:t xml:space="preserve"> Access, Research Misconduct and Regulatory Authorities</w:t>
      </w:r>
    </w:p>
    <w:p w14:paraId="0ED06D96" w14:textId="1F21C29C" w:rsidR="00BB5F5F" w:rsidRPr="008B39DD" w:rsidRDefault="00BB5F5F" w:rsidP="00BB5F5F">
      <w:pPr>
        <w:ind w:left="567"/>
      </w:pPr>
      <w:r w:rsidRPr="008B39DD">
        <w:t xml:space="preserve">Reflecting the strict regulatory environment faced by </w:t>
      </w:r>
      <w:r>
        <w:t>Sponsors</w:t>
      </w:r>
      <w:r w:rsidRPr="008B39DD">
        <w:t xml:space="preserve"> (and CROs), representations have been included to confirm that the </w:t>
      </w:r>
      <w:r w:rsidR="00CE390D">
        <w:t>Trial Site</w:t>
      </w:r>
      <w:r w:rsidRPr="008B39DD">
        <w:t xml:space="preserve"> is unaware of any restriction on the </w:t>
      </w:r>
      <w:r>
        <w:t>P</w:t>
      </w:r>
      <w:r w:rsidRPr="008B39DD">
        <w:t xml:space="preserve">rincipal </w:t>
      </w:r>
      <w:r>
        <w:t>I</w:t>
      </w:r>
      <w:r w:rsidRPr="008B39DD">
        <w:t xml:space="preserve">nvestigator or the </w:t>
      </w:r>
      <w:r w:rsidR="00CE390D">
        <w:t>P</w:t>
      </w:r>
      <w:r w:rsidRPr="008B39DD">
        <w:t xml:space="preserve">ersonnel that would prevent that (those) individual(s) from having a role in the </w:t>
      </w:r>
      <w:r w:rsidR="00DC728B">
        <w:t>C</w:t>
      </w:r>
      <w:r w:rsidRPr="008B39DD">
        <w:t xml:space="preserve">linical </w:t>
      </w:r>
      <w:r w:rsidR="00DC728B">
        <w:t>T</w:t>
      </w:r>
      <w:r w:rsidRPr="008B39DD">
        <w:t xml:space="preserve">rial. The representation made by the </w:t>
      </w:r>
      <w:r w:rsidR="00DC728B">
        <w:t>Trial Site</w:t>
      </w:r>
      <w:r w:rsidRPr="008B39DD">
        <w:t xml:space="preserve"> must be made only after reasonable due diligence on its part to ensure that the </w:t>
      </w:r>
      <w:r>
        <w:t>Sponsor</w:t>
      </w:r>
      <w:r w:rsidRPr="008B39DD">
        <w:t xml:space="preserve"> may take adequate assurance from this representation.</w:t>
      </w:r>
    </w:p>
    <w:p w14:paraId="6D08BC67" w14:textId="7B365441" w:rsidR="00BB5F5F" w:rsidRDefault="00BB5F5F" w:rsidP="00BB5F5F">
      <w:pPr>
        <w:ind w:left="567"/>
      </w:pPr>
      <w:r w:rsidRPr="008B39DD">
        <w:t xml:space="preserve">Detailed provisions covering the </w:t>
      </w:r>
      <w:r>
        <w:t>Sponsor</w:t>
      </w:r>
      <w:r w:rsidRPr="008B39DD">
        <w:t xml:space="preserve">’s (and CROs) access to the </w:t>
      </w:r>
      <w:r w:rsidR="00DC728B">
        <w:t>Trial S</w:t>
      </w:r>
      <w:r w:rsidRPr="008B39DD">
        <w:t>ite and handling of possible misconduct have been agreed and these include various reporting requirements.</w:t>
      </w:r>
    </w:p>
    <w:p w14:paraId="6DC30FBE" w14:textId="0A3B5FCE" w:rsidR="00BB5F5F" w:rsidRPr="00BB5F5F" w:rsidRDefault="00BB5F5F" w:rsidP="00EF50C6">
      <w:pPr>
        <w:pStyle w:val="Normalnos"/>
      </w:pPr>
      <w:proofErr w:type="spellStart"/>
      <w:r w:rsidRPr="00C33FAD">
        <w:t>mCTA</w:t>
      </w:r>
      <w:proofErr w:type="spellEnd"/>
      <w:r w:rsidRPr="00C33FAD">
        <w:t xml:space="preserve"> Clause 4.1</w:t>
      </w:r>
      <w:r w:rsidR="00501F89">
        <w:t>6</w:t>
      </w:r>
      <w:r w:rsidRPr="00C33FAD">
        <w:t>.9 (CRO-</w:t>
      </w:r>
      <w:proofErr w:type="spellStart"/>
      <w:r w:rsidRPr="00C33FAD">
        <w:t>mCTA</w:t>
      </w:r>
      <w:proofErr w:type="spellEnd"/>
      <w:r w:rsidRPr="00C33FAD">
        <w:t xml:space="preserve"> 4.1</w:t>
      </w:r>
      <w:r w:rsidR="003842C9">
        <w:t>7</w:t>
      </w:r>
      <w:r w:rsidRPr="00C33FAD">
        <w:t>.9): Archiving</w:t>
      </w:r>
    </w:p>
    <w:p w14:paraId="39F72B20" w14:textId="19E86551" w:rsidR="00BB5F5F" w:rsidRPr="00BB5F5F" w:rsidRDefault="00BB5F5F" w:rsidP="00BB5F5F">
      <w:pPr>
        <w:ind w:left="567"/>
      </w:pPr>
      <w:r w:rsidRPr="00EF2471">
        <w:t xml:space="preserve">This sub-clause allows for circumstances in which archiving is </w:t>
      </w:r>
      <w:r w:rsidR="00984AAE">
        <w:t xml:space="preserve">in line with the Trial Site’s usual arrangements, or </w:t>
      </w:r>
      <w:r w:rsidR="00DF0213">
        <w:t>circumstances in which the Sponsor (or CRO, where applicable) assist the Trial Site to make alternative arrangements for archiving</w:t>
      </w:r>
      <w:r w:rsidRPr="00EF2471">
        <w:t xml:space="preserve">. Costs associated with archiving may be reimbursed by the </w:t>
      </w:r>
      <w:r>
        <w:t>Sponsor</w:t>
      </w:r>
      <w:r w:rsidRPr="00EF2471">
        <w:t xml:space="preserve"> (or CRO, where applicable), provided that those costs are set out in the </w:t>
      </w:r>
      <w:r w:rsidR="00DF22CF">
        <w:t>F</w:t>
      </w:r>
      <w:r w:rsidRPr="00EF2471">
        <w:t>inanc</w:t>
      </w:r>
      <w:r w:rsidR="00607813">
        <w:t>e</w:t>
      </w:r>
      <w:r w:rsidRPr="00EF2471">
        <w:t xml:space="preserve"> </w:t>
      </w:r>
      <w:r w:rsidR="00DF22CF">
        <w:t>S</w:t>
      </w:r>
      <w:r w:rsidRPr="00EF2471">
        <w:t>chedule</w:t>
      </w:r>
      <w:r w:rsidR="00DF22CF">
        <w:t xml:space="preserve"> in Appendix 4 of the Agreement</w:t>
      </w:r>
      <w:r w:rsidRPr="00EF2471">
        <w:t>.</w:t>
      </w:r>
      <w:r w:rsidR="00121BC2">
        <w:t xml:space="preserve"> </w:t>
      </w:r>
      <w:r w:rsidR="001961C9">
        <w:t>This sub-clause also</w:t>
      </w:r>
      <w:r w:rsidR="00237615">
        <w:t xml:space="preserve"> sets out the </w:t>
      </w:r>
      <w:r w:rsidR="00461C84">
        <w:t xml:space="preserve">duration for archiving and procedures for </w:t>
      </w:r>
      <w:r w:rsidR="001961C9">
        <w:t>destruction of Clinical Trial records.</w:t>
      </w:r>
    </w:p>
    <w:p w14:paraId="6F3FE64E" w14:textId="24575D87" w:rsidR="00BB5F5F" w:rsidRPr="00BB5F5F" w:rsidRDefault="00BB5F5F" w:rsidP="00EF50C6">
      <w:pPr>
        <w:pStyle w:val="Normalnos"/>
      </w:pPr>
      <w:proofErr w:type="spellStart"/>
      <w:r w:rsidRPr="00ED0B49">
        <w:t>mCTA</w:t>
      </w:r>
      <w:proofErr w:type="spellEnd"/>
      <w:r w:rsidRPr="00ED0B49">
        <w:t xml:space="preserve"> Clause 4.1</w:t>
      </w:r>
      <w:r w:rsidR="003842C9">
        <w:t>6</w:t>
      </w:r>
      <w:r w:rsidRPr="00ED0B49">
        <w:t>.10 and 4.1</w:t>
      </w:r>
      <w:r w:rsidR="003842C9">
        <w:t>6</w:t>
      </w:r>
      <w:r w:rsidRPr="00ED0B49">
        <w:t>.11 (CRO-</w:t>
      </w:r>
      <w:proofErr w:type="spellStart"/>
      <w:r w:rsidRPr="00ED0B49">
        <w:t>mCTA</w:t>
      </w:r>
      <w:proofErr w:type="spellEnd"/>
      <w:r w:rsidRPr="00ED0B49">
        <w:t xml:space="preserve"> Clauses 4.1</w:t>
      </w:r>
      <w:r w:rsidR="003842C9">
        <w:t>7</w:t>
      </w:r>
      <w:r w:rsidRPr="00ED0B49">
        <w:t>.10 and 4.1</w:t>
      </w:r>
      <w:r w:rsidR="003842C9">
        <w:t>7</w:t>
      </w:r>
      <w:r w:rsidRPr="00ED0B49">
        <w:t>.11): Use of Material</w:t>
      </w:r>
    </w:p>
    <w:p w14:paraId="4EC83E36" w14:textId="374E023F" w:rsidR="00BB5F5F" w:rsidRPr="00EF2471" w:rsidRDefault="00BB5F5F" w:rsidP="00BB5F5F">
      <w:pPr>
        <w:ind w:left="567"/>
      </w:pPr>
      <w:r w:rsidRPr="00EF2471">
        <w:t xml:space="preserve">The </w:t>
      </w:r>
      <w:proofErr w:type="spellStart"/>
      <w:r w:rsidRPr="00EF2471">
        <w:t>mCTAs</w:t>
      </w:r>
      <w:proofErr w:type="spellEnd"/>
      <w:r w:rsidRPr="00EF2471">
        <w:t xml:space="preserve"> define “Material” as “…any clinical biological sample, or portion thereof, derived from </w:t>
      </w:r>
      <w:r w:rsidR="00DF22CF">
        <w:t>Participant</w:t>
      </w:r>
      <w:r w:rsidRPr="00EF2471">
        <w:t xml:space="preserve">s, including information related to such material, analysed by the </w:t>
      </w:r>
      <w:r w:rsidR="00C326A8">
        <w:t>Trial Site or Other Trial Site</w:t>
      </w:r>
      <w:r w:rsidRPr="00EF2471">
        <w:t xml:space="preserve"> in accordance with the </w:t>
      </w:r>
      <w:r>
        <w:t>Protocol</w:t>
      </w:r>
      <w:r w:rsidRPr="00EF2471">
        <w:t xml:space="preserve">, or otherwise supplied under Appendix 6 to the </w:t>
      </w:r>
      <w:r>
        <w:t>Sponsor</w:t>
      </w:r>
      <w:r w:rsidRPr="00EF2471">
        <w:t xml:space="preserve"> or its nominee.” </w:t>
      </w:r>
      <w:proofErr w:type="spellStart"/>
      <w:r w:rsidRPr="00EF2471">
        <w:t>mCTA</w:t>
      </w:r>
      <w:proofErr w:type="spellEnd"/>
      <w:r w:rsidRPr="00EF2471">
        <w:t xml:space="preserve"> Clauses 4.1</w:t>
      </w:r>
      <w:r w:rsidR="003842C9">
        <w:t>6</w:t>
      </w:r>
      <w:r w:rsidRPr="00EF2471">
        <w:t>.10 and 4.1</w:t>
      </w:r>
      <w:r w:rsidR="003842C9">
        <w:t>6</w:t>
      </w:r>
      <w:r w:rsidRPr="00EF2471">
        <w:t>.11 (CRO-</w:t>
      </w:r>
      <w:proofErr w:type="spellStart"/>
      <w:r w:rsidRPr="00EF2471">
        <w:t>mCTA</w:t>
      </w:r>
      <w:proofErr w:type="spellEnd"/>
      <w:r w:rsidRPr="00EF2471">
        <w:t xml:space="preserve"> 4.1</w:t>
      </w:r>
      <w:r w:rsidR="00DE0C81">
        <w:t>7</w:t>
      </w:r>
      <w:r w:rsidRPr="00EF2471">
        <w:t>.10 and 4.1</w:t>
      </w:r>
      <w:r w:rsidR="00DE0C81">
        <w:t>7</w:t>
      </w:r>
      <w:r w:rsidRPr="00EF2471">
        <w:t xml:space="preserve">.11) distinguish between the situations where a </w:t>
      </w:r>
      <w:r w:rsidR="000C0D85">
        <w:t>Trial Site</w:t>
      </w:r>
      <w:r w:rsidR="00C12E4A">
        <w:t xml:space="preserve"> (or </w:t>
      </w:r>
      <w:r w:rsidR="000C0D85">
        <w:t>Other Trial Site</w:t>
      </w:r>
      <w:r w:rsidR="00C12E4A">
        <w:t xml:space="preserve">(s) should this be </w:t>
      </w:r>
      <w:r w:rsidR="00C12E4A">
        <w:lastRenderedPageBreak/>
        <w:t>subcontracted)</w:t>
      </w:r>
      <w:r w:rsidR="000C0D85">
        <w:t xml:space="preserve"> </w:t>
      </w:r>
      <w:r w:rsidRPr="00EF2471">
        <w:t xml:space="preserve">analyses material, and situations where a </w:t>
      </w:r>
      <w:r>
        <w:t>Sponsor</w:t>
      </w:r>
      <w:r w:rsidRPr="00EF2471">
        <w:t xml:space="preserve"> takes that responsibility and it is carried out either in the </w:t>
      </w:r>
      <w:r>
        <w:t>Sponsor</w:t>
      </w:r>
      <w:r w:rsidRPr="00EF2471">
        <w:t>’s own laboratory or through a third party laboratory.</w:t>
      </w:r>
    </w:p>
    <w:p w14:paraId="7307828B" w14:textId="42E8C5E4" w:rsidR="00BB5F5F" w:rsidRPr="00EF2471" w:rsidRDefault="00BB5F5F" w:rsidP="00BB5F5F">
      <w:pPr>
        <w:ind w:left="567"/>
      </w:pPr>
      <w:proofErr w:type="spellStart"/>
      <w:r w:rsidRPr="00EF2471">
        <w:t>mCTA</w:t>
      </w:r>
      <w:proofErr w:type="spellEnd"/>
      <w:r w:rsidRPr="00EF2471">
        <w:t xml:space="preserve"> Clause 4.1</w:t>
      </w:r>
      <w:r w:rsidR="00DE0C81">
        <w:t>6</w:t>
      </w:r>
      <w:r w:rsidRPr="00EF2471">
        <w:t>.10 (CRO-</w:t>
      </w:r>
      <w:proofErr w:type="spellStart"/>
      <w:r w:rsidRPr="00EF2471">
        <w:t>mCTA</w:t>
      </w:r>
      <w:proofErr w:type="spellEnd"/>
      <w:r w:rsidRPr="00EF2471">
        <w:t xml:space="preserve"> 4.1</w:t>
      </w:r>
      <w:r w:rsidR="00DE0C81">
        <w:t>7</w:t>
      </w:r>
      <w:r w:rsidRPr="00EF2471">
        <w:t xml:space="preserve">.10) should be deleted where no analysis of </w:t>
      </w:r>
      <w:r w:rsidR="00146D33">
        <w:t>M</w:t>
      </w:r>
      <w:r w:rsidRPr="00EF2471">
        <w:t xml:space="preserve">aterial will take place at the </w:t>
      </w:r>
      <w:r w:rsidR="00A06A37">
        <w:t>Trial Site (or, as applicable</w:t>
      </w:r>
      <w:r w:rsidR="00EE5286">
        <w:t>,</w:t>
      </w:r>
      <w:r w:rsidR="00A06A37">
        <w:t xml:space="preserve"> Other Trial Site(s))</w:t>
      </w:r>
      <w:r w:rsidRPr="00EF2471">
        <w:t>.</w:t>
      </w:r>
    </w:p>
    <w:p w14:paraId="0228020A" w14:textId="504C1238" w:rsidR="00BB5F5F" w:rsidRPr="00EF2471" w:rsidRDefault="00BB5F5F" w:rsidP="00BB5F5F">
      <w:pPr>
        <w:ind w:left="567"/>
      </w:pPr>
      <w:proofErr w:type="spellStart"/>
      <w:r w:rsidRPr="00EF2471">
        <w:t>mCTA</w:t>
      </w:r>
      <w:proofErr w:type="spellEnd"/>
      <w:r w:rsidRPr="00EF2471">
        <w:t xml:space="preserve"> Clause 4.1</w:t>
      </w:r>
      <w:r w:rsidR="00DE0C81">
        <w:t>6</w:t>
      </w:r>
      <w:r w:rsidRPr="00EF2471">
        <w:t>.11 (CRO-</w:t>
      </w:r>
      <w:proofErr w:type="spellStart"/>
      <w:r w:rsidRPr="00EF2471">
        <w:t>mCTA</w:t>
      </w:r>
      <w:proofErr w:type="spellEnd"/>
      <w:r w:rsidRPr="00EF2471">
        <w:t xml:space="preserve"> 4.1</w:t>
      </w:r>
      <w:r w:rsidR="00DE0C81">
        <w:t>7</w:t>
      </w:r>
      <w:r w:rsidRPr="00EF2471">
        <w:t xml:space="preserve">.11) should be deleted where no transfer of </w:t>
      </w:r>
      <w:r w:rsidR="00146D33">
        <w:t>M</w:t>
      </w:r>
      <w:r w:rsidRPr="00EF2471">
        <w:t xml:space="preserve">aterial from the </w:t>
      </w:r>
      <w:r w:rsidR="00EE5286">
        <w:t>Trial Site (or, as applicable, Other Trial Site(s))</w:t>
      </w:r>
      <w:r w:rsidRPr="00EF2471">
        <w:t xml:space="preserve"> will take place for analysis by the </w:t>
      </w:r>
      <w:r>
        <w:t>Sponsor</w:t>
      </w:r>
      <w:r w:rsidRPr="00EF2471">
        <w:t xml:space="preserve"> or their nominee.</w:t>
      </w:r>
    </w:p>
    <w:p w14:paraId="53E2F0B4" w14:textId="5F333691" w:rsidR="00BB5F5F" w:rsidRPr="00EF2471" w:rsidRDefault="00BB5F5F" w:rsidP="00BB5F5F">
      <w:pPr>
        <w:ind w:left="567"/>
      </w:pPr>
      <w:r w:rsidRPr="00EF2471">
        <w:t xml:space="preserve">Both </w:t>
      </w:r>
      <w:r w:rsidR="00EE5286">
        <w:t>c</w:t>
      </w:r>
      <w:r w:rsidRPr="00EF2471">
        <w:t xml:space="preserve">lauses should remain where analysis of </w:t>
      </w:r>
      <w:r w:rsidR="00146D33">
        <w:t>M</w:t>
      </w:r>
      <w:r w:rsidRPr="00EF2471">
        <w:t xml:space="preserve">aterial will be undertaken by </w:t>
      </w:r>
      <w:r w:rsidR="00EE5286" w:rsidRPr="00EE5286">
        <w:rPr>
          <w:b/>
          <w:bCs/>
        </w:rPr>
        <w:t>BOTH</w:t>
      </w:r>
      <w:r w:rsidR="00EE5286">
        <w:t xml:space="preserve"> </w:t>
      </w:r>
      <w:r w:rsidRPr="00EF2471">
        <w:t xml:space="preserve">the </w:t>
      </w:r>
      <w:r w:rsidR="00EE5286">
        <w:t>Trial Site (and</w:t>
      </w:r>
      <w:r w:rsidR="00DE0C81">
        <w:t xml:space="preserve"> </w:t>
      </w:r>
      <w:r w:rsidR="00EE5286">
        <w:t>/</w:t>
      </w:r>
      <w:r w:rsidR="00DE0C81">
        <w:t xml:space="preserve"> </w:t>
      </w:r>
      <w:r w:rsidR="00EE5286">
        <w:t>or, as applicable, Other Trial Site(s))</w:t>
      </w:r>
      <w:r>
        <w:t xml:space="preserve"> </w:t>
      </w:r>
      <w:r w:rsidR="00EE5286" w:rsidRPr="00EE5286">
        <w:rPr>
          <w:b/>
          <w:bCs/>
        </w:rPr>
        <w:t>AND</w:t>
      </w:r>
      <w:r w:rsidRPr="00EF2471">
        <w:t xml:space="preserve"> by the </w:t>
      </w:r>
      <w:r>
        <w:t>Sponsor</w:t>
      </w:r>
      <w:r w:rsidRPr="00EF2471">
        <w:t xml:space="preserve"> or their nominee.</w:t>
      </w:r>
    </w:p>
    <w:p w14:paraId="443916A3" w14:textId="3C8D7E8A" w:rsidR="00BB5F5F" w:rsidRPr="00EF2471" w:rsidRDefault="00BB5F5F" w:rsidP="00BB5F5F">
      <w:pPr>
        <w:ind w:left="567"/>
      </w:pPr>
      <w:r w:rsidRPr="00EF2471">
        <w:t xml:space="preserve">Appendix 6 sets out general responsibilities with respect to the handling and use of </w:t>
      </w:r>
      <w:r w:rsidR="00146D33">
        <w:t>M</w:t>
      </w:r>
      <w:r w:rsidRPr="00EF2471">
        <w:t xml:space="preserve">aterial transferred to the </w:t>
      </w:r>
      <w:r>
        <w:t>Sponsor</w:t>
      </w:r>
      <w:r w:rsidRPr="00EF2471">
        <w:t xml:space="preserve"> (or their nominee) by the </w:t>
      </w:r>
      <w:r w:rsidR="00EE5286">
        <w:t>Trial Site</w:t>
      </w:r>
      <w:r w:rsidR="00DE0C81">
        <w:t xml:space="preserve"> </w:t>
      </w:r>
      <w:r w:rsidR="00C931C1">
        <w:t>/</w:t>
      </w:r>
      <w:r w:rsidR="00DE0C81">
        <w:t xml:space="preserve"> </w:t>
      </w:r>
      <w:r w:rsidR="00C931C1">
        <w:t>Other Trial Site(s)</w:t>
      </w:r>
      <w:r w:rsidRPr="00EF2471">
        <w:t xml:space="preserve">, applicable to both </w:t>
      </w:r>
      <w:r w:rsidR="00C931C1">
        <w:t>P</w:t>
      </w:r>
      <w:r w:rsidRPr="00EF2471">
        <w:t xml:space="preserve">arties and is applicable only where </w:t>
      </w:r>
      <w:r w:rsidR="00C903B7">
        <w:t>C</w:t>
      </w:r>
      <w:r w:rsidRPr="00EF2471">
        <w:t xml:space="preserve">lause </w:t>
      </w:r>
      <w:proofErr w:type="spellStart"/>
      <w:r w:rsidRPr="00EF2471">
        <w:t>mCTA</w:t>
      </w:r>
      <w:proofErr w:type="spellEnd"/>
      <w:r w:rsidRPr="00EF2471">
        <w:t xml:space="preserve"> 4.1</w:t>
      </w:r>
      <w:r w:rsidR="00DE0C81">
        <w:t>6</w:t>
      </w:r>
      <w:r w:rsidRPr="00EF2471">
        <w:t>.11 (CRO-</w:t>
      </w:r>
      <w:proofErr w:type="spellStart"/>
      <w:r w:rsidRPr="00EF2471">
        <w:t>mCTA</w:t>
      </w:r>
      <w:proofErr w:type="spellEnd"/>
      <w:r w:rsidRPr="00EF2471">
        <w:t xml:space="preserve"> 4.1</w:t>
      </w:r>
      <w:r w:rsidR="00DE0C81">
        <w:t>7</w:t>
      </w:r>
      <w:r w:rsidRPr="00EF2471">
        <w:t>.11) applies. Otherwise, it should be deleted.</w:t>
      </w:r>
    </w:p>
    <w:p w14:paraId="5D26559D" w14:textId="4FDD581A" w:rsidR="00BB5F5F" w:rsidRPr="00EF2471" w:rsidRDefault="00BB5F5F" w:rsidP="00BB5F5F">
      <w:pPr>
        <w:ind w:left="567"/>
      </w:pPr>
      <w:r w:rsidRPr="00EF2471">
        <w:t xml:space="preserve">Additional requirements relating to the use of Material in any specific </w:t>
      </w:r>
      <w:r>
        <w:t>c</w:t>
      </w:r>
      <w:r w:rsidRPr="00EF2471">
        <w:t xml:space="preserve">linical </w:t>
      </w:r>
      <w:r>
        <w:t>t</w:t>
      </w:r>
      <w:r w:rsidRPr="00EF2471">
        <w:t xml:space="preserve">rial are also captured in the Integrated Research Application System (IRAS) </w:t>
      </w:r>
      <w:r w:rsidR="000A40E0">
        <w:t>Form</w:t>
      </w:r>
      <w:r w:rsidRPr="00EF2471">
        <w:t xml:space="preserve"> required to obtain approval for the Clinical Trial. </w:t>
      </w:r>
      <w:r>
        <w:t>Sponsors</w:t>
      </w:r>
      <w:r w:rsidRPr="00EF2471">
        <w:t xml:space="preserve"> and </w:t>
      </w:r>
      <w:r w:rsidR="00B33DCD">
        <w:t>Trial Sites</w:t>
      </w:r>
      <w:r w:rsidRPr="00EF2471">
        <w:t xml:space="preserve"> (and CROs, where applicable) are strongly encouraged to review both the IRAS question relating to use of Material and </w:t>
      </w:r>
      <w:r w:rsidR="00DF22CF">
        <w:t>Participant</w:t>
      </w:r>
      <w:r w:rsidRPr="00EF2471">
        <w:t xml:space="preserve">s </w:t>
      </w:r>
      <w:proofErr w:type="gramStart"/>
      <w:r w:rsidRPr="00EF2471">
        <w:t>in order to</w:t>
      </w:r>
      <w:proofErr w:type="gramEnd"/>
      <w:r w:rsidRPr="00EF2471">
        <w:t xml:space="preserve"> determine the feasibility (or otherwise) of use/participation in multiple Clinical Trials, as well as the accompanying notes which place restrictions on the use of Material.</w:t>
      </w:r>
    </w:p>
    <w:p w14:paraId="6C71095C" w14:textId="77777777" w:rsidR="00501F89" w:rsidRPr="003A6A81" w:rsidRDefault="00501F89" w:rsidP="00501F89">
      <w:pPr>
        <w:pStyle w:val="Normalnos"/>
      </w:pPr>
      <w:proofErr w:type="spellStart"/>
      <w:r w:rsidRPr="003A6A81">
        <w:t>mCTA</w:t>
      </w:r>
      <w:proofErr w:type="spellEnd"/>
      <w:r w:rsidRPr="003A6A81">
        <w:t xml:space="preserve"> Clause 4.1</w:t>
      </w:r>
      <w:r>
        <w:t>8</w:t>
      </w:r>
      <w:r w:rsidRPr="003A6A81">
        <w:t xml:space="preserve"> (CRO-</w:t>
      </w:r>
      <w:proofErr w:type="spellStart"/>
      <w:r w:rsidRPr="003A6A81">
        <w:t>mCTA</w:t>
      </w:r>
      <w:proofErr w:type="spellEnd"/>
      <w:r w:rsidRPr="003A6A81">
        <w:t xml:space="preserve"> 4.1</w:t>
      </w:r>
      <w:r>
        <w:t>9</w:t>
      </w:r>
      <w:r w:rsidRPr="003A6A81">
        <w:t>): Hub and Spoke Agreement</w:t>
      </w:r>
    </w:p>
    <w:p w14:paraId="47810688" w14:textId="77777777" w:rsidR="00501F89" w:rsidRPr="003A6A81" w:rsidRDefault="00501F89" w:rsidP="00501F89">
      <w:pPr>
        <w:ind w:left="567"/>
      </w:pPr>
      <w:r>
        <w:t xml:space="preserve">This optional clause is for use when the </w:t>
      </w:r>
      <w:proofErr w:type="spellStart"/>
      <w:r>
        <w:t>mCTA</w:t>
      </w:r>
      <w:proofErr w:type="spellEnd"/>
      <w:r>
        <w:t xml:space="preserve"> is used as a head agreement for subcontracting between the Lead Trial Site and Other Trial Site(s) (that is to say where the PI at the Lead Trial Site is overseeing activities at other legal entities, which are therefore part of the same Investigator Site and subcontracted as such).</w:t>
      </w:r>
    </w:p>
    <w:p w14:paraId="154E8171" w14:textId="4D80054C" w:rsidR="00BB5F5F" w:rsidRPr="00BB5F5F" w:rsidRDefault="00BB5F5F" w:rsidP="00EF50C6">
      <w:pPr>
        <w:pStyle w:val="Normalnos"/>
      </w:pPr>
      <w:r w:rsidRPr="00ED0B49">
        <w:t>Clause 5: Liabilities and Indemnities</w:t>
      </w:r>
    </w:p>
    <w:p w14:paraId="39B7D451" w14:textId="3DE55F5C" w:rsidR="00BB5F5F" w:rsidRPr="00EF2471" w:rsidRDefault="00BB5F5F" w:rsidP="00BB5F5F">
      <w:pPr>
        <w:ind w:left="567"/>
      </w:pPr>
      <w:r w:rsidRPr="00EF2471">
        <w:t xml:space="preserve">It is essential that </w:t>
      </w:r>
      <w:r>
        <w:t>Sponsors</w:t>
      </w:r>
      <w:r w:rsidRPr="00EF2471">
        <w:t xml:space="preserve"> and </w:t>
      </w:r>
      <w:r w:rsidR="00601325">
        <w:t>Trial Sites</w:t>
      </w:r>
      <w:r w:rsidRPr="00EF2471">
        <w:t xml:space="preserve"> (and CROs, where relevant) indemnify each other for any liabilities other than those covered under the ABPI Indemnity Agreement, in case participation in a </w:t>
      </w:r>
      <w:proofErr w:type="gramStart"/>
      <w:r w:rsidRPr="00EF2471">
        <w:t>clinical trial results</w:t>
      </w:r>
      <w:proofErr w:type="gramEnd"/>
      <w:r w:rsidRPr="00EF2471">
        <w:t xml:space="preserve"> in damage to </w:t>
      </w:r>
      <w:r>
        <w:t>a</w:t>
      </w:r>
      <w:r w:rsidRPr="00EF2471">
        <w:t xml:space="preserve"> party’s property and facilities. Hospitals’ non-clinical liabilities in relation to research are not usually covered by existing NHS litigation schemes and it is unlikely that their management would authorise the taking on of unquantified and potentially unlimited liabilities, such as might arise from an intellectual property rights claim.</w:t>
      </w:r>
    </w:p>
    <w:p w14:paraId="5C58E71D" w14:textId="14CAC0E2" w:rsidR="00BB5F5F" w:rsidRPr="00EF2471" w:rsidRDefault="00BB5F5F" w:rsidP="00BB5F5F">
      <w:pPr>
        <w:ind w:left="567"/>
      </w:pPr>
      <w:r w:rsidRPr="00EF2471">
        <w:t xml:space="preserve">The liabilities of </w:t>
      </w:r>
      <w:r w:rsidR="00601325">
        <w:t>Trial Sites</w:t>
      </w:r>
      <w:r w:rsidRPr="00EF2471">
        <w:t xml:space="preserve"> to </w:t>
      </w:r>
      <w:r>
        <w:t>Sponsors</w:t>
      </w:r>
      <w:r w:rsidRPr="00EF2471">
        <w:t xml:space="preserve"> (and CROs, where applicable) have been capped at two different levels depending on the nature of the breach. The first cap, covering (a) wilful and</w:t>
      </w:r>
      <w:r w:rsidR="00D5220D">
        <w:t xml:space="preserve"> </w:t>
      </w:r>
      <w:r w:rsidRPr="00EF2471">
        <w:t>/</w:t>
      </w:r>
      <w:r w:rsidR="00D5220D">
        <w:t xml:space="preserve"> </w:t>
      </w:r>
      <w:r w:rsidRPr="00EF2471">
        <w:t>or deliberate breaches of the agreement and (b) any breach related to Clauses 6, (Data Protection), 7</w:t>
      </w:r>
      <w:r>
        <w:t> </w:t>
      </w:r>
      <w:r w:rsidRPr="00EF2471">
        <w:t>(Freedom of Information)</w:t>
      </w:r>
      <w:r>
        <w:t>,</w:t>
      </w:r>
      <w:r w:rsidRPr="00EF2471">
        <w:t xml:space="preserve"> 8 (Confidential Information), 10 (Publications) and 11</w:t>
      </w:r>
      <w:r>
        <w:t> </w:t>
      </w:r>
      <w:r w:rsidRPr="00EF2471">
        <w:t xml:space="preserve">(Intellectual Property), provides for the </w:t>
      </w:r>
      <w:r w:rsidR="007912E6">
        <w:t>Trial Site</w:t>
      </w:r>
      <w:r w:rsidRPr="00EF2471">
        <w:t>’s liability to be limited to a maximum of twice the value of the agreement</w:t>
      </w:r>
      <w:r w:rsidR="00433EE2">
        <w:t xml:space="preserve">, as defined in clause </w:t>
      </w:r>
      <w:r w:rsidR="002F4D7B">
        <w:t>5.5</w:t>
      </w:r>
      <w:r w:rsidRPr="00EF2471">
        <w:t xml:space="preserve">. The second cap covers all other </w:t>
      </w:r>
      <w:r w:rsidRPr="00EF2471">
        <w:lastRenderedPageBreak/>
        <w:t xml:space="preserve">breaches of the agreement by the </w:t>
      </w:r>
      <w:r w:rsidR="007912E6">
        <w:t>Trial Site</w:t>
      </w:r>
      <w:r w:rsidRPr="00EF2471">
        <w:t xml:space="preserve"> and limits the </w:t>
      </w:r>
      <w:r w:rsidR="007912E6">
        <w:t>Trial Site</w:t>
      </w:r>
      <w:r w:rsidRPr="00EF2471">
        <w:t>’s liability to the maximum value of the contract.</w:t>
      </w:r>
    </w:p>
    <w:p w14:paraId="59A72C82" w14:textId="0B5F7404" w:rsidR="00BB5F5F" w:rsidRPr="00EF2471" w:rsidRDefault="00BB5F5F" w:rsidP="00BB5F5F">
      <w:pPr>
        <w:ind w:left="567"/>
      </w:pPr>
      <w:r w:rsidRPr="00EF2471">
        <w:t xml:space="preserve">While for </w:t>
      </w:r>
      <w:proofErr w:type="gramStart"/>
      <w:r w:rsidRPr="00EF2471">
        <w:t>a number of</w:t>
      </w:r>
      <w:proofErr w:type="gramEnd"/>
      <w:r w:rsidRPr="00EF2471">
        <w:t xml:space="preserve"> types of possible breaches these provisions might not fully compensate the </w:t>
      </w:r>
      <w:r>
        <w:t>Sponsor</w:t>
      </w:r>
      <w:r w:rsidRPr="00EF2471">
        <w:t xml:space="preserve"> (or CRO) for their loss, it is considered that the risk of paying compensation on this basis provides an additional incentive for </w:t>
      </w:r>
      <w:r w:rsidR="00601325">
        <w:t>Trial Sites</w:t>
      </w:r>
      <w:r w:rsidRPr="00EF2471">
        <w:t xml:space="preserve"> to take every reasonable precaution to prevent a breach of the agreement. These precautions could include</w:t>
      </w:r>
      <w:r>
        <w:t>:</w:t>
      </w:r>
      <w:r w:rsidRPr="00EF2471">
        <w:t xml:space="preserve"> (i) having in place robust research governance arrangements; (ii) instituting training programmes for researchers undertaking commercial trials; (iii) emphasising to staff the importance of protecting the integrity of </w:t>
      </w:r>
      <w:r>
        <w:t>Sponsors</w:t>
      </w:r>
      <w:r w:rsidRPr="00EF2471">
        <w:t>’ (and CROs) confidential information; and taking disciplinary action in the event of a wilful or reckless breach of the provisions of clinical trial agreements.</w:t>
      </w:r>
    </w:p>
    <w:p w14:paraId="7D63636B" w14:textId="13F8F147" w:rsidR="00BB5F5F" w:rsidRPr="00EF2471" w:rsidRDefault="00BB5F5F" w:rsidP="00BB5F5F">
      <w:pPr>
        <w:ind w:left="567"/>
      </w:pPr>
      <w:r w:rsidRPr="00EF2471">
        <w:t xml:space="preserve">Under </w:t>
      </w:r>
      <w:r>
        <w:t>T</w:t>
      </w:r>
      <w:r w:rsidRPr="00EF2471">
        <w:t xml:space="preserve">he Medicines for Human Use (Clinical Trials) Regulations 2004, </w:t>
      </w:r>
      <w:r>
        <w:t>Sponsors</w:t>
      </w:r>
      <w:r w:rsidRPr="00EF2471">
        <w:t xml:space="preserve"> are not required to take out clinical trials insurance, but </w:t>
      </w:r>
      <w:r w:rsidR="00601325">
        <w:t>Trial Sites</w:t>
      </w:r>
      <w:r w:rsidRPr="00EF2471">
        <w:t xml:space="preserve"> will wish to be assured either that sufficient insurance cover has been purchased, or that the </w:t>
      </w:r>
      <w:r>
        <w:t>Sponsor</w:t>
      </w:r>
      <w:r w:rsidRPr="00EF2471">
        <w:t xml:space="preserve"> has provided an indemnity covering potential liabilities to</w:t>
      </w:r>
      <w:r w:rsidR="00D072C8">
        <w:t xml:space="preserve"> </w:t>
      </w:r>
      <w:r w:rsidR="00DF22CF">
        <w:t>Participant</w:t>
      </w:r>
      <w:r w:rsidRPr="00EF2471">
        <w:t>s participating in the relevant clinical trial. Research ethics committees that provide an opinion on the trial proposal may therefore take a view, in relation to the risks posed by a specific clinical trial, as to the indemnity and</w:t>
      </w:r>
      <w:r w:rsidR="00C05857">
        <w:t xml:space="preserve"> </w:t>
      </w:r>
      <w:r w:rsidRPr="00EF2471">
        <w:t>/</w:t>
      </w:r>
      <w:r w:rsidR="00C05857">
        <w:t xml:space="preserve"> </w:t>
      </w:r>
      <w:r w:rsidRPr="00EF2471">
        <w:t xml:space="preserve">or the adequacy of the </w:t>
      </w:r>
      <w:r>
        <w:t>Sponsor</w:t>
      </w:r>
      <w:r w:rsidRPr="00EF2471">
        <w:t>’s clinical trials insurance.</w:t>
      </w:r>
    </w:p>
    <w:p w14:paraId="7DA70CE9" w14:textId="1466B8EF" w:rsidR="00BB5F5F" w:rsidRPr="00BB5F5F" w:rsidRDefault="00BB5F5F" w:rsidP="00EF50C6">
      <w:pPr>
        <w:pStyle w:val="Normalnos"/>
      </w:pPr>
      <w:r w:rsidRPr="00BA7C0E">
        <w:t>Clause 6: Data Protection</w:t>
      </w:r>
    </w:p>
    <w:p w14:paraId="19022ABE" w14:textId="4F0EF45D" w:rsidR="00BB5F5F" w:rsidRDefault="00BB5F5F" w:rsidP="00BB5F5F">
      <w:pPr>
        <w:ind w:left="567"/>
      </w:pPr>
      <w:r w:rsidRPr="00694816">
        <w:t xml:space="preserve">The </w:t>
      </w:r>
      <w:proofErr w:type="spellStart"/>
      <w:r w:rsidRPr="00694816">
        <w:t>mCTA</w:t>
      </w:r>
      <w:r>
        <w:t>s</w:t>
      </w:r>
      <w:proofErr w:type="spellEnd"/>
      <w:r w:rsidRPr="00694816">
        <w:t xml:space="preserve"> include general provisions related to compliance with the relevant data protection laws and guidance. </w:t>
      </w:r>
      <w:r>
        <w:t>The definition of the term “Data Protection Laws and Guidance” includes “</w:t>
      </w:r>
      <w:r w:rsidRPr="00BB5F5F">
        <w:rPr>
          <w:b/>
          <w:bCs/>
          <w:u w:val="single"/>
        </w:rPr>
        <w:t>legally enforceable</w:t>
      </w:r>
      <w:r w:rsidRPr="004B623D">
        <w:t xml:space="preserve"> NHS requirements, Codes of Practice or Guidance issued by the Information Commissioner’s Office, in each case in force from time to time in England, Northern Ireland, Scotland and/or Wales</w:t>
      </w:r>
      <w:r>
        <w:t xml:space="preserve">”. </w:t>
      </w:r>
      <w:r w:rsidRPr="00694816">
        <w:t>Oversight of this compliance is provided through the clinical trials approval process</w:t>
      </w:r>
      <w:r>
        <w:t>,</w:t>
      </w:r>
      <w:r w:rsidRPr="00694816">
        <w:t xml:space="preserve"> which includes a review of the mechanisms for protecting personal data.</w:t>
      </w:r>
    </w:p>
    <w:p w14:paraId="032E695F" w14:textId="422D6F27" w:rsidR="00BB5F5F" w:rsidRPr="00694816" w:rsidRDefault="00BB5F5F" w:rsidP="00BB5F5F">
      <w:pPr>
        <w:ind w:left="567"/>
      </w:pPr>
      <w:r>
        <w:t xml:space="preserve">Clause 6 is explicitly concerned with Personal Data as defined in the agreement, that is, only personal data of </w:t>
      </w:r>
      <w:r w:rsidR="00DF22CF">
        <w:t>Participant</w:t>
      </w:r>
      <w:r>
        <w:t xml:space="preserve">s, or potential </w:t>
      </w:r>
      <w:r w:rsidR="00DF22CF">
        <w:t>Participant</w:t>
      </w:r>
      <w:r>
        <w:t xml:space="preserve">s. The Personal Data of the Principal Investigator or Personnel are not dealt with in the template and requests to modify the template to change this will not be accepted. Sponsors are encouraged to fulfil their transparency obligations for processing the personal data of the PI and Personnel via their signature and delegation log, as per the example provided in </w:t>
      </w:r>
      <w:hyperlink r:id="rId19" w:anchor="UK-Local-Information-Pack-Delegation-Log" w:history="1">
        <w:r w:rsidRPr="00446CA3">
          <w:rPr>
            <w:rStyle w:val="Hyperlink"/>
          </w:rPr>
          <w:t>IRAS</w:t>
        </w:r>
      </w:hyperlink>
      <w:r>
        <w:t>.</w:t>
      </w:r>
    </w:p>
    <w:p w14:paraId="268D0F08" w14:textId="640DF2A6" w:rsidR="00BB5F5F" w:rsidRDefault="00BB5F5F" w:rsidP="00BB5F5F">
      <w:pPr>
        <w:ind w:left="567"/>
      </w:pPr>
      <w:r w:rsidRPr="00694816">
        <w:t>Clause 6.2</w:t>
      </w:r>
      <w:r>
        <w:t>, when taken together with the clinical trial protocol,</w:t>
      </w:r>
      <w:r w:rsidRPr="00694816">
        <w:t xml:space="preserve"> constitutes a GDPR Article 28(3)</w:t>
      </w:r>
      <w:r>
        <w:t xml:space="preserve"> </w:t>
      </w:r>
      <w:r w:rsidRPr="00694816">
        <w:t xml:space="preserve">compliant data processing agreement between </w:t>
      </w:r>
      <w:r>
        <w:t>Sponsor,</w:t>
      </w:r>
      <w:r w:rsidRPr="00694816">
        <w:t xml:space="preserve"> as controller of Personal Data processed for the purpose of the clinical trial, and the </w:t>
      </w:r>
      <w:r w:rsidR="0027479A">
        <w:t>Trial Site</w:t>
      </w:r>
      <w:r>
        <w:t>,</w:t>
      </w:r>
      <w:r w:rsidRPr="00694816">
        <w:t xml:space="preserve"> as processor of the </w:t>
      </w:r>
      <w:r>
        <w:t>Sponsor</w:t>
      </w:r>
      <w:r w:rsidRPr="00694816">
        <w:t xml:space="preserve"> for this purpose.</w:t>
      </w:r>
    </w:p>
    <w:p w14:paraId="0C8679DF" w14:textId="05994EFB" w:rsidR="00BB5F5F" w:rsidRPr="00694816" w:rsidRDefault="00BB5F5F" w:rsidP="00BB5F5F">
      <w:pPr>
        <w:ind w:left="567"/>
      </w:pPr>
      <w:r>
        <w:t xml:space="preserve">Clause 6.2.5(a) explicitly references GDPR Article 28(1) and gives “obligations as an NHS organisation” as the guarantee that the sponsor should take in accordance with 28(1). </w:t>
      </w:r>
      <w:r w:rsidRPr="00FF4879">
        <w:t xml:space="preserve">NHS organisations are held to high standards of data protection in each of the four UK nations. Sponsors should therefore take assurance that the measures taken by the NHS are appropriate when relying </w:t>
      </w:r>
      <w:r w:rsidRPr="00FF4879">
        <w:lastRenderedPageBreak/>
        <w:t>upon existing NHS processes, systems, etc. for the processing of personal data (as opposed to when study specific provisions are required by the sponsor, such as Electronic Case Report Forms (eCRF)</w:t>
      </w:r>
      <w:r>
        <w:t>, where the requirements of the sponsor should be clearly set out in, for example, the protocol, eCRF manual or other relevant document)</w:t>
      </w:r>
      <w:r w:rsidRPr="00FF4879">
        <w:t>.</w:t>
      </w:r>
    </w:p>
    <w:p w14:paraId="1DFE0537" w14:textId="0622AF16" w:rsidR="00BB5F5F" w:rsidRPr="00694816" w:rsidRDefault="00BB5F5F" w:rsidP="00BB5F5F">
      <w:pPr>
        <w:ind w:left="567"/>
      </w:pPr>
      <w:r w:rsidRPr="00694816">
        <w:t xml:space="preserve">Clause 6.2.6 should set out the position of the </w:t>
      </w:r>
      <w:r>
        <w:t>Sponsor</w:t>
      </w:r>
      <w:r w:rsidRPr="00694816">
        <w:t xml:space="preserve"> on the use of </w:t>
      </w:r>
      <w:r>
        <w:t>Participant Identification Centres (</w:t>
      </w:r>
      <w:r w:rsidRPr="00694816">
        <w:t>PICs</w:t>
      </w:r>
      <w:r>
        <w:t>)</w:t>
      </w:r>
      <w:r w:rsidRPr="00694816">
        <w:t xml:space="preserve"> in the clinical trial and, where their use is permitted, whether the </w:t>
      </w:r>
      <w:r w:rsidR="009B2B7D">
        <w:t>Trial Site</w:t>
      </w:r>
      <w:r w:rsidRPr="00694816">
        <w:t xml:space="preserve"> may engage PICs under the general written authorisation of the agreement or only with specific written authorisation from</w:t>
      </w:r>
      <w:r>
        <w:t>,</w:t>
      </w:r>
      <w:r w:rsidRPr="00694816">
        <w:t xml:space="preserve"> or on behalf of</w:t>
      </w:r>
      <w:r>
        <w:t>,</w:t>
      </w:r>
      <w:r w:rsidRPr="00694816">
        <w:t xml:space="preserve"> the </w:t>
      </w:r>
      <w:r>
        <w:t>Sponsor</w:t>
      </w:r>
      <w:r w:rsidRPr="00694816">
        <w:t>.</w:t>
      </w:r>
    </w:p>
    <w:p w14:paraId="351ADCB8" w14:textId="62CC899D" w:rsidR="00BB5F5F" w:rsidRPr="00694816" w:rsidRDefault="00BB5F5F" w:rsidP="00BB5F5F">
      <w:pPr>
        <w:ind w:left="567"/>
      </w:pPr>
      <w:r w:rsidRPr="00694816">
        <w:t>Clause 6.3 provides for the sharing of Personal Data and or the pseudonymised data of data subjects</w:t>
      </w:r>
      <w:r>
        <w:t xml:space="preserve">. The drafting of Clause 6.3 is not intended to directly deal with sponsor responsibilities arising from the Data Protection Laws and Guidance, nor to provide the legal basis for the export of personal data to a country outside of the UK. Instead, the </w:t>
      </w:r>
      <w:r w:rsidR="00C903B7">
        <w:t>C</w:t>
      </w:r>
      <w:r>
        <w:t xml:space="preserve">lause is drafted to provide </w:t>
      </w:r>
      <w:r w:rsidRPr="00694816">
        <w:t xml:space="preserve">the </w:t>
      </w:r>
      <w:r w:rsidR="00490511">
        <w:t>Trial Site</w:t>
      </w:r>
      <w:r w:rsidRPr="00694816">
        <w:t xml:space="preserve"> with assurances </w:t>
      </w:r>
      <w:r>
        <w:t xml:space="preserve">that NHS organisations are advised, in accordance with Caldicott and NHS policies and best practice, to obtain prior to releasing potentially identifiable confidential patient information to a third party. Modifications to the </w:t>
      </w:r>
      <w:r w:rsidR="00C903B7">
        <w:t>C</w:t>
      </w:r>
      <w:r>
        <w:t>lause to form a</w:t>
      </w:r>
      <w:r w:rsidR="00864FEA">
        <w:t xml:space="preserve">n </w:t>
      </w:r>
      <w:r>
        <w:t>agreement for the export of personal data, or other modifications that fail to reflect the basis of the clause in Caldicott, NHS policy and best practice, should not be proposed and will not be accepted.</w:t>
      </w:r>
    </w:p>
    <w:p w14:paraId="54175E51" w14:textId="77777777" w:rsidR="00BB5F5F" w:rsidRPr="00BB5F5F" w:rsidRDefault="00BB5F5F" w:rsidP="00EF50C6">
      <w:pPr>
        <w:pStyle w:val="Normalnos"/>
      </w:pPr>
      <w:r w:rsidRPr="00BA7C0E">
        <w:t>Clause 7: Freedom of Information</w:t>
      </w:r>
    </w:p>
    <w:p w14:paraId="5A1FE37B" w14:textId="27CFCA98" w:rsidR="00BB5F5F" w:rsidRDefault="00EB0743" w:rsidP="00EB0743">
      <w:pPr>
        <w:ind w:left="567"/>
      </w:pPr>
      <w:r w:rsidRPr="00694816">
        <w:t xml:space="preserve">This Clause imposes obligations on </w:t>
      </w:r>
      <w:r w:rsidR="00601325">
        <w:t>Trial Sites</w:t>
      </w:r>
      <w:r w:rsidRPr="00694816">
        <w:t xml:space="preserve"> to take timely action to inform </w:t>
      </w:r>
      <w:r>
        <w:t>Sponsors</w:t>
      </w:r>
      <w:r w:rsidRPr="00694816">
        <w:t xml:space="preserve"> (and CROs, as applicable) about requests for information, consult fully with them about disclosure, and inform them, where reasonably practicable, in a timely way of any plans they may have to disclose information against the wishes of a </w:t>
      </w:r>
      <w:r>
        <w:t>Sponsor</w:t>
      </w:r>
      <w:r w:rsidRPr="00694816">
        <w:t>.</w:t>
      </w:r>
    </w:p>
    <w:p w14:paraId="3B0E3B02" w14:textId="44D34B09" w:rsidR="00BB5F5F" w:rsidRPr="00EB0743" w:rsidRDefault="00BB5F5F" w:rsidP="00EF50C6">
      <w:pPr>
        <w:pStyle w:val="Normalnos"/>
      </w:pPr>
      <w:r w:rsidRPr="00BA7C0E">
        <w:t>Clause 10</w:t>
      </w:r>
      <w:r>
        <w:t>:</w:t>
      </w:r>
      <w:r w:rsidRPr="00BA7C0E">
        <w:t xml:space="preserve"> Publications</w:t>
      </w:r>
    </w:p>
    <w:p w14:paraId="6237FF46" w14:textId="20A42E55" w:rsidR="00EB0743" w:rsidRPr="00694816" w:rsidRDefault="00EB0743" w:rsidP="00EB0743">
      <w:pPr>
        <w:ind w:left="567"/>
      </w:pPr>
      <w:r w:rsidRPr="00694816">
        <w:t xml:space="preserve">The </w:t>
      </w:r>
      <w:proofErr w:type="spellStart"/>
      <w:r w:rsidRPr="00694816">
        <w:t>mCTAs</w:t>
      </w:r>
      <w:proofErr w:type="spellEnd"/>
      <w:r w:rsidRPr="00694816">
        <w:t xml:space="preserve"> recognise that </w:t>
      </w:r>
      <w:r w:rsidR="00601325">
        <w:t>Trial Sites</w:t>
      </w:r>
      <w:r w:rsidRPr="00694816">
        <w:t xml:space="preserve"> have a responsibility to ensure appropriate publication and dissemination of clinical research for the benefit of patients and their peers. Publication should be done in an orderly way, usually in compliance with the publication policy set out in the </w:t>
      </w:r>
      <w:r>
        <w:t>Protocol</w:t>
      </w:r>
      <w:r w:rsidRPr="00694816">
        <w:t xml:space="preserve">, provided such policy is consistent with the Joint Position as defined in the </w:t>
      </w:r>
      <w:proofErr w:type="spellStart"/>
      <w:r w:rsidRPr="00694816">
        <w:t>mCTAs</w:t>
      </w:r>
      <w:proofErr w:type="spellEnd"/>
      <w:r w:rsidRPr="00694816">
        <w:t>.</w:t>
      </w:r>
    </w:p>
    <w:p w14:paraId="194919E4" w14:textId="77777777" w:rsidR="00EB0743" w:rsidRPr="00694816" w:rsidRDefault="00EB0743" w:rsidP="00EB0743">
      <w:pPr>
        <w:ind w:left="567"/>
      </w:pPr>
      <w:r w:rsidRPr="00694816">
        <w:t xml:space="preserve">This Clause sets out conditions governing the way that individual investigators should prepare </w:t>
      </w:r>
      <w:r>
        <w:t>any</w:t>
      </w:r>
      <w:r w:rsidRPr="00694816">
        <w:t xml:space="preserve"> publications</w:t>
      </w:r>
      <w:r>
        <w:t xml:space="preserve"> that they may intend to make</w:t>
      </w:r>
      <w:r w:rsidRPr="00694816">
        <w:t>, and the opportunities t</w:t>
      </w:r>
      <w:r>
        <w:t>hat t</w:t>
      </w:r>
      <w:r w:rsidRPr="00694816">
        <w:t xml:space="preserve">hey should allow </w:t>
      </w:r>
      <w:r>
        <w:t>Sponsors</w:t>
      </w:r>
      <w:r w:rsidRPr="00694816">
        <w:t xml:space="preserve"> to comment on them. It also specifies the window of opportunity available to </w:t>
      </w:r>
      <w:r>
        <w:t>Sponsors</w:t>
      </w:r>
      <w:r w:rsidRPr="00694816">
        <w:t xml:space="preserve"> in which they can protect proprietary information. It was drafted to ensure that publications based on limited and perhaps unrepresentative data from one</w:t>
      </w:r>
      <w:r>
        <w:t xml:space="preserve"> site,</w:t>
      </w:r>
      <w:r w:rsidRPr="00694816">
        <w:t xml:space="preserve"> or a limited number of sites</w:t>
      </w:r>
      <w:r>
        <w:t>,</w:t>
      </w:r>
      <w:r w:rsidRPr="00694816">
        <w:t xml:space="preserve"> do not inadvertently misrepresent results, by requiring that the principal report(s) of each clinical trial is (are) published before articles based on subsets of the data.</w:t>
      </w:r>
    </w:p>
    <w:p w14:paraId="2473042A" w14:textId="4EFA22F6" w:rsidR="00EB0743" w:rsidRPr="00694816" w:rsidRDefault="00EB0743" w:rsidP="00EB0743">
      <w:pPr>
        <w:ind w:left="567"/>
      </w:pPr>
      <w:r w:rsidRPr="00694816">
        <w:t xml:space="preserve">The terms of the </w:t>
      </w:r>
      <w:proofErr w:type="spellStart"/>
      <w:r w:rsidRPr="00694816">
        <w:t>mCTAs</w:t>
      </w:r>
      <w:proofErr w:type="spellEnd"/>
      <w:r w:rsidRPr="00694816">
        <w:t xml:space="preserve"> allow publication of data derived from the </w:t>
      </w:r>
      <w:r w:rsidR="00DF0E2E">
        <w:t>Trial Site</w:t>
      </w:r>
      <w:r w:rsidRPr="00694816">
        <w:t xml:space="preserve"> after the multi-centre publication and subject to the terms of Clause 10.</w:t>
      </w:r>
    </w:p>
    <w:p w14:paraId="16C4A44C" w14:textId="77777777" w:rsidR="00EB0743" w:rsidRPr="00EB0743" w:rsidRDefault="00EB0743" w:rsidP="00EF50C6">
      <w:pPr>
        <w:pStyle w:val="Normalnos"/>
      </w:pPr>
      <w:r w:rsidRPr="00BA7C0E">
        <w:lastRenderedPageBreak/>
        <w:t>Clause 11</w:t>
      </w:r>
      <w:r>
        <w:t>:</w:t>
      </w:r>
      <w:r w:rsidRPr="00BA7C0E">
        <w:t xml:space="preserve"> Intellectual Property</w:t>
      </w:r>
      <w:r>
        <w:t xml:space="preserve"> (IP)</w:t>
      </w:r>
    </w:p>
    <w:p w14:paraId="5EB6584F" w14:textId="62F3C65A" w:rsidR="00EB0743" w:rsidRPr="00694816" w:rsidRDefault="00EB0743" w:rsidP="00EB0743">
      <w:pPr>
        <w:ind w:left="567"/>
      </w:pPr>
      <w:r w:rsidRPr="00694816">
        <w:t xml:space="preserve">Four core principles underlie the </w:t>
      </w:r>
      <w:proofErr w:type="spellStart"/>
      <w:r w:rsidRPr="00694816">
        <w:t>mCTAs</w:t>
      </w:r>
      <w:proofErr w:type="spellEnd"/>
      <w:r w:rsidRPr="00694816">
        <w:t xml:space="preserve">’ IP </w:t>
      </w:r>
      <w:r w:rsidR="00C903B7">
        <w:t>C</w:t>
      </w:r>
      <w:r w:rsidRPr="00694816">
        <w:t xml:space="preserve">lauses. First, each party retains ownership of any pre-existing IP or </w:t>
      </w:r>
      <w:r>
        <w:t>K</w:t>
      </w:r>
      <w:r w:rsidRPr="00694816">
        <w:t>now</w:t>
      </w:r>
      <w:r>
        <w:t>-H</w:t>
      </w:r>
      <w:r w:rsidRPr="00694816">
        <w:t xml:space="preserve">ow owned by it or licensed to it. Second, any IP or </w:t>
      </w:r>
      <w:r>
        <w:t>K</w:t>
      </w:r>
      <w:r w:rsidRPr="00694816">
        <w:t>now</w:t>
      </w:r>
      <w:r>
        <w:t>-H</w:t>
      </w:r>
      <w:r w:rsidRPr="00694816">
        <w:t xml:space="preserve">ow generated at the </w:t>
      </w:r>
      <w:r w:rsidR="00A121A3">
        <w:t>Trial Site</w:t>
      </w:r>
      <w:r w:rsidRPr="00694816">
        <w:t xml:space="preserve"> that relates to the clinical trial, the </w:t>
      </w:r>
      <w:proofErr w:type="gramStart"/>
      <w:r w:rsidRPr="00694816">
        <w:t>IMP</w:t>
      </w:r>
      <w:proofErr w:type="gramEnd"/>
      <w:r w:rsidRPr="00694816">
        <w:t xml:space="preserve"> or the </w:t>
      </w:r>
      <w:r>
        <w:t>Protocol</w:t>
      </w:r>
      <w:r w:rsidRPr="00694816">
        <w:t xml:space="preserve"> (excluding any clinical procedure or related improvements) is the property of the </w:t>
      </w:r>
      <w:r>
        <w:t>Sponsor</w:t>
      </w:r>
      <w:r w:rsidRPr="00694816">
        <w:t xml:space="preserve">. Third, clinical procedures and related improvements are the property of the </w:t>
      </w:r>
      <w:r w:rsidR="00412C3B">
        <w:t>Trial Site</w:t>
      </w:r>
      <w:r w:rsidRPr="00694816">
        <w:t xml:space="preserve"> and, depending on the inventor’s employer (hospital or university), could be protected accordingly. Four</w:t>
      </w:r>
      <w:r w:rsidR="00AE27D4">
        <w:t>th</w:t>
      </w:r>
      <w:r w:rsidRPr="00694816">
        <w:t xml:space="preserve">, the </w:t>
      </w:r>
      <w:r w:rsidR="00AE27D4">
        <w:t>Trial Site</w:t>
      </w:r>
      <w:r w:rsidRPr="00694816">
        <w:t xml:space="preserve"> also has the right to use know</w:t>
      </w:r>
      <w:r>
        <w:t>-</w:t>
      </w:r>
      <w:r w:rsidRPr="00694816">
        <w:t xml:space="preserve">how gained during the trial in its normal activities, provided it does not result in disclosure of the </w:t>
      </w:r>
      <w:r>
        <w:t>Sponsor</w:t>
      </w:r>
      <w:r w:rsidRPr="00694816">
        <w:t xml:space="preserve">’s confidential information. These provisions are designed to protect the </w:t>
      </w:r>
      <w:r>
        <w:t>Sponsor</w:t>
      </w:r>
      <w:r w:rsidRPr="00694816">
        <w:t xml:space="preserve">’s IP and give it ownership of anything derived from it, while allowing the investigator’s employer to protect and exploit clinical procedures and related improvements, and to use </w:t>
      </w:r>
      <w:r>
        <w:t>K</w:t>
      </w:r>
      <w:r w:rsidRPr="00694816">
        <w:t>now</w:t>
      </w:r>
      <w:r>
        <w:t>-H</w:t>
      </w:r>
      <w:r w:rsidRPr="00694816">
        <w:t>ow generated while the Clinical Trial is being undertaken.</w:t>
      </w:r>
    </w:p>
    <w:p w14:paraId="1466C038" w14:textId="77777777" w:rsidR="00EB0743" w:rsidRPr="00721C2B" w:rsidRDefault="00EB0743" w:rsidP="00EB0743">
      <w:pPr>
        <w:ind w:left="567"/>
      </w:pPr>
      <w:r w:rsidRPr="00EB0743">
        <w:rPr>
          <w:b/>
        </w:rPr>
        <w:t>Example 1</w:t>
      </w:r>
      <w:r>
        <w:br/>
      </w:r>
      <w:r w:rsidRPr="00721C2B">
        <w:t xml:space="preserve">If an investigator, supplied with information in the investigator brochure about the characteristics of a new drug, identified a possible role for the drug in a different disease, or a potentially more effective combination with a second drug, the rights to that IP would lie with the </w:t>
      </w:r>
      <w:r>
        <w:t>Sponsor</w:t>
      </w:r>
      <w:r w:rsidRPr="00721C2B">
        <w:t>.</w:t>
      </w:r>
    </w:p>
    <w:p w14:paraId="44E8DEF0" w14:textId="20867F0C" w:rsidR="00EB0743" w:rsidRPr="00721C2B" w:rsidRDefault="00EB0743" w:rsidP="00EB0743">
      <w:pPr>
        <w:ind w:left="567"/>
      </w:pPr>
      <w:r w:rsidRPr="00EB0743">
        <w:rPr>
          <w:b/>
        </w:rPr>
        <w:t>Example 2</w:t>
      </w:r>
      <w:r>
        <w:br/>
      </w:r>
      <w:r w:rsidRPr="00721C2B">
        <w:t xml:space="preserve">If a </w:t>
      </w:r>
      <w:r>
        <w:t>Protocol</w:t>
      </w:r>
      <w:r w:rsidRPr="00721C2B">
        <w:t xml:space="preserve"> specified that a certain type of CT scan should be taken, and while analysing the scan, an employee of the </w:t>
      </w:r>
      <w:r w:rsidR="000769E8">
        <w:t>Trial Site</w:t>
      </w:r>
      <w:r w:rsidRPr="00721C2B">
        <w:t xml:space="preserve"> developed a new method of analysing CT scans, the rights to that IP would lie with the </w:t>
      </w:r>
      <w:r w:rsidR="000769E8">
        <w:t>Trial Site</w:t>
      </w:r>
      <w:r w:rsidRPr="00721C2B">
        <w:t>.</w:t>
      </w:r>
    </w:p>
    <w:p w14:paraId="34BD78AD" w14:textId="2F064221" w:rsidR="00EB0743" w:rsidRPr="00721C2B" w:rsidRDefault="00EB0743" w:rsidP="00EB0743">
      <w:pPr>
        <w:ind w:left="567"/>
      </w:pPr>
      <w:r w:rsidRPr="00EB0743">
        <w:rPr>
          <w:b/>
        </w:rPr>
        <w:t>Example 3</w:t>
      </w:r>
      <w:r>
        <w:br/>
      </w:r>
      <w:r w:rsidRPr="00721C2B">
        <w:t xml:space="preserve">A </w:t>
      </w:r>
      <w:r>
        <w:t>Sponsor</w:t>
      </w:r>
      <w:r w:rsidRPr="00721C2B">
        <w:t xml:space="preserve"> supplies a case report form for use by an investigator for the </w:t>
      </w:r>
      <w:r>
        <w:t>Sponsor</w:t>
      </w:r>
      <w:r w:rsidRPr="00721C2B">
        <w:t xml:space="preserve">’s clinical trial. </w:t>
      </w:r>
      <w:proofErr w:type="gramStart"/>
      <w:r w:rsidRPr="00721C2B">
        <w:t>In the course of</w:t>
      </w:r>
      <w:proofErr w:type="gramEnd"/>
      <w:r w:rsidRPr="00721C2B">
        <w:t xml:space="preserve"> carrying out the </w:t>
      </w:r>
      <w:r>
        <w:t>Sponsor</w:t>
      </w:r>
      <w:r w:rsidRPr="00721C2B">
        <w:t xml:space="preserve">’s clinical trial, the investigator develops, for </w:t>
      </w:r>
      <w:r w:rsidR="00AE0403">
        <w:t>their</w:t>
      </w:r>
      <w:r w:rsidRPr="00721C2B">
        <w:t xml:space="preserve"> own convenience and without being requested to or paid to by the </w:t>
      </w:r>
      <w:r>
        <w:t>Sponsor</w:t>
      </w:r>
      <w:r w:rsidRPr="00721C2B">
        <w:t>, a novel database on which to manage the trial subject data. The rights to that IP would lie with the employer of the investigator.</w:t>
      </w:r>
    </w:p>
    <w:p w14:paraId="63CB565E" w14:textId="1E23ABD4" w:rsidR="00EB0743" w:rsidRPr="00721C2B" w:rsidRDefault="00EB0743" w:rsidP="00EB0743">
      <w:pPr>
        <w:ind w:left="567"/>
      </w:pPr>
      <w:r w:rsidRPr="00721C2B">
        <w:t xml:space="preserve">The terms of the </w:t>
      </w:r>
      <w:proofErr w:type="spellStart"/>
      <w:r w:rsidRPr="00721C2B">
        <w:t>mCTAs</w:t>
      </w:r>
      <w:proofErr w:type="spellEnd"/>
      <w:r w:rsidRPr="00721C2B">
        <w:t xml:space="preserve"> do not give the </w:t>
      </w:r>
      <w:r>
        <w:t>Sponsor</w:t>
      </w:r>
      <w:r w:rsidRPr="00721C2B">
        <w:t xml:space="preserve"> rights to all IP generated by employees of the </w:t>
      </w:r>
      <w:r w:rsidR="00BA7136">
        <w:t>Trial Site</w:t>
      </w:r>
      <w:r w:rsidRPr="00721C2B">
        <w:t xml:space="preserve"> either </w:t>
      </w:r>
      <w:proofErr w:type="gramStart"/>
      <w:r w:rsidRPr="00721C2B">
        <w:t>in the course of</w:t>
      </w:r>
      <w:proofErr w:type="gramEnd"/>
      <w:r w:rsidRPr="00721C2B">
        <w:t xml:space="preserve"> the clinical trial or in the field of the clinical trial.</w:t>
      </w:r>
    </w:p>
    <w:p w14:paraId="726F19FD" w14:textId="66FB94D0" w:rsidR="00EB0743" w:rsidRPr="00EB0743" w:rsidRDefault="00EB0743" w:rsidP="00EF50C6">
      <w:pPr>
        <w:pStyle w:val="Normalnos"/>
      </w:pPr>
      <w:r w:rsidRPr="001D09C8">
        <w:t>Clause 16.1</w:t>
      </w:r>
      <w:r>
        <w:t>:</w:t>
      </w:r>
      <w:r w:rsidRPr="001D09C8">
        <w:t xml:space="preserve"> Order of Precedence</w:t>
      </w:r>
    </w:p>
    <w:p w14:paraId="3152964B" w14:textId="1D767FCD" w:rsidR="00EB0743" w:rsidRDefault="00EB0743" w:rsidP="00EB0743">
      <w:pPr>
        <w:ind w:left="567"/>
      </w:pPr>
      <w:r w:rsidRPr="00721C2B">
        <w:t xml:space="preserve">In most respects, the terms of the </w:t>
      </w:r>
      <w:r>
        <w:t>Protocol</w:t>
      </w:r>
      <w:r w:rsidRPr="00721C2B">
        <w:t xml:space="preserve"> will prevail over the other terms of the </w:t>
      </w:r>
      <w:proofErr w:type="spellStart"/>
      <w:r w:rsidRPr="00721C2B">
        <w:t>mCTA</w:t>
      </w:r>
      <w:proofErr w:type="spellEnd"/>
      <w:r w:rsidRPr="00721C2B">
        <w:t xml:space="preserve">. However, in respect of six </w:t>
      </w:r>
      <w:r>
        <w:t xml:space="preserve">(6) </w:t>
      </w:r>
      <w:r w:rsidRPr="00721C2B">
        <w:t xml:space="preserve">important Clauses: 5 (Liabilities and Indemnities), 6 (Data Protection), 7 (Freedom of Information), 8 (Confidentiality), 10 (Publications), 11 (Intellectual Property) and 16 (Agreement </w:t>
      </w:r>
      <w:r>
        <w:t>and</w:t>
      </w:r>
      <w:r w:rsidRPr="00721C2B">
        <w:t xml:space="preserve"> Modification), the terms set out in the </w:t>
      </w:r>
      <w:proofErr w:type="spellStart"/>
      <w:r w:rsidRPr="00721C2B">
        <w:t>mCTAs</w:t>
      </w:r>
      <w:proofErr w:type="spellEnd"/>
      <w:r w:rsidRPr="00721C2B">
        <w:t xml:space="preserve"> will prevail.</w:t>
      </w:r>
    </w:p>
    <w:p w14:paraId="30FFF9D4" w14:textId="77777777" w:rsidR="00EB0743" w:rsidRPr="00EB0743" w:rsidRDefault="00EB0743" w:rsidP="00EF50C6">
      <w:pPr>
        <w:pStyle w:val="Normalnos"/>
      </w:pPr>
      <w:r w:rsidRPr="001D09C8">
        <w:t>Clause 16.3</w:t>
      </w:r>
      <w:r>
        <w:t>:</w:t>
      </w:r>
      <w:r w:rsidRPr="001D09C8">
        <w:t xml:space="preserve"> Changes to the Protocol</w:t>
      </w:r>
    </w:p>
    <w:p w14:paraId="33EDB0CE" w14:textId="6AD40E4E" w:rsidR="00EB0743" w:rsidRDefault="00EB0743" w:rsidP="00EB0743">
      <w:pPr>
        <w:ind w:left="567"/>
      </w:pPr>
      <w:r w:rsidRPr="00721C2B">
        <w:t xml:space="preserve">The procedure to be followed when changes are made is set out in Clause 16.3 and if the change requires a revised financial schedule, this should be agreed, signed by the </w:t>
      </w:r>
      <w:proofErr w:type="gramStart"/>
      <w:r w:rsidRPr="00721C2B">
        <w:t>Parties</w:t>
      </w:r>
      <w:proofErr w:type="gramEnd"/>
      <w:r w:rsidRPr="00721C2B">
        <w:t xml:space="preserve"> and </w:t>
      </w:r>
      <w:r w:rsidR="00813626">
        <w:t>included in</w:t>
      </w:r>
      <w:r w:rsidRPr="00721C2B">
        <w:t xml:space="preserve"> the Agreement. </w:t>
      </w:r>
      <w:r>
        <w:t xml:space="preserve">The implementation of </w:t>
      </w:r>
      <w:r>
        <w:lastRenderedPageBreak/>
        <w:t>a</w:t>
      </w:r>
      <w:r w:rsidRPr="00721C2B">
        <w:t>mendments requiring changes to the financial schedule should not be delayed until contract variation is completed. Instead</w:t>
      </w:r>
      <w:r>
        <w:t>,</w:t>
      </w:r>
      <w:r w:rsidRPr="00721C2B">
        <w:t xml:space="preserve"> amendments should be implemented in a timely manner</w:t>
      </w:r>
      <w:r>
        <w:t>,</w:t>
      </w:r>
      <w:r w:rsidRPr="00721C2B">
        <w:t xml:space="preserve"> whilst good faith negotiation between the parties continues to finalise and agree the variation.</w:t>
      </w:r>
    </w:p>
    <w:p w14:paraId="2780E3BD" w14:textId="42B0E95C" w:rsidR="00EB0743" w:rsidRPr="00EB0743" w:rsidRDefault="00EB0743" w:rsidP="00EF50C6">
      <w:pPr>
        <w:pStyle w:val="Normalnos"/>
      </w:pPr>
      <w:r w:rsidRPr="001D09C8">
        <w:t>Clause 17</w:t>
      </w:r>
      <w:r>
        <w:t>:</w:t>
      </w:r>
      <w:r w:rsidRPr="001D09C8">
        <w:t xml:space="preserve"> Force Majeure</w:t>
      </w:r>
    </w:p>
    <w:p w14:paraId="3479B12A" w14:textId="2432C373" w:rsidR="00EB0743" w:rsidRDefault="00EB0743" w:rsidP="00EB0743">
      <w:pPr>
        <w:ind w:left="567"/>
      </w:pPr>
      <w:r w:rsidRPr="00721C2B">
        <w:t>The parties will agree a reasonable time limit after which delays due to an act of God etc., affecting one party’s performance of their duties</w:t>
      </w:r>
      <w:r>
        <w:t>,</w:t>
      </w:r>
      <w:r w:rsidRPr="00721C2B">
        <w:t xml:space="preserve"> allow the unaffected party to terminate the contract.</w:t>
      </w:r>
    </w:p>
    <w:p w14:paraId="0106CD7A" w14:textId="77777777" w:rsidR="00EB0743" w:rsidRPr="00EB0743" w:rsidRDefault="00EB0743" w:rsidP="00EF50C6">
      <w:pPr>
        <w:pStyle w:val="Normalnos"/>
      </w:pPr>
      <w:r w:rsidRPr="001D09C8">
        <w:t>Clause 18.1.1</w:t>
      </w:r>
      <w:r>
        <w:t>:</w:t>
      </w:r>
      <w:r w:rsidRPr="001D09C8">
        <w:t xml:space="preserve"> Notices</w:t>
      </w:r>
    </w:p>
    <w:p w14:paraId="4A80C8A7" w14:textId="71A3DF06" w:rsidR="00EB0743" w:rsidRDefault="008637D2" w:rsidP="008637D2">
      <w:pPr>
        <w:ind w:left="567"/>
      </w:pPr>
      <w:r w:rsidRPr="00721C2B">
        <w:t>It is permitted to serve notice by e</w:t>
      </w:r>
      <w:r>
        <w:t>-</w:t>
      </w:r>
      <w:r w:rsidRPr="00721C2B">
        <w:t xml:space="preserve">mail, at the discretion of the </w:t>
      </w:r>
      <w:r>
        <w:t>Sponsor</w:t>
      </w:r>
      <w:r w:rsidRPr="00721C2B">
        <w:t xml:space="preserve">, as set out in this </w:t>
      </w:r>
      <w:r>
        <w:t>C</w:t>
      </w:r>
      <w:r w:rsidRPr="00721C2B">
        <w:t>lause.</w:t>
      </w:r>
      <w:r>
        <w:t xml:space="preserve"> Where the Sponsor chooses not to allow for notices to be served by e-mail, the Clause should not be modified, the parties should merely refrain from providing email addresses under Clause 18.2.</w:t>
      </w:r>
    </w:p>
    <w:p w14:paraId="6F02EB7B" w14:textId="35AE6CD8" w:rsidR="00EB0743" w:rsidRPr="008637D2" w:rsidRDefault="00EB0743" w:rsidP="00EF50C6">
      <w:pPr>
        <w:pStyle w:val="Normalnos"/>
      </w:pPr>
      <w:r w:rsidRPr="001D09C8">
        <w:t>Clause 19</w:t>
      </w:r>
      <w:r>
        <w:t>:</w:t>
      </w:r>
      <w:r w:rsidRPr="001D09C8">
        <w:t xml:space="preserve"> Dispute resolution</w:t>
      </w:r>
    </w:p>
    <w:p w14:paraId="2DAD8D18" w14:textId="0AE6BD91" w:rsidR="008637D2" w:rsidRDefault="008637D2" w:rsidP="008637D2">
      <w:pPr>
        <w:ind w:left="567"/>
      </w:pPr>
      <w:r w:rsidRPr="00721C2B">
        <w:t xml:space="preserve">Under the </w:t>
      </w:r>
      <w:proofErr w:type="spellStart"/>
      <w:r w:rsidRPr="00721C2B">
        <w:t>mCTAs</w:t>
      </w:r>
      <w:proofErr w:type="spellEnd"/>
      <w:r w:rsidRPr="00721C2B">
        <w:t xml:space="preserve">, the </w:t>
      </w:r>
      <w:r w:rsidR="006720CD">
        <w:t>P</w:t>
      </w:r>
      <w:r w:rsidRPr="00721C2B">
        <w:t xml:space="preserve">arties are required, in the first instance, to attempt to resolve any dispute through discussion between senior managers which, if unsuccessful, may proceed to mediation. An informal local procedure is specified, escalating, if necessary, through more formal processes. If mediation fails, the </w:t>
      </w:r>
      <w:r w:rsidR="006720CD">
        <w:t>P</w:t>
      </w:r>
      <w:r w:rsidRPr="00721C2B">
        <w:t xml:space="preserve">arties can take the dispute to the courts of the jurisdiction in which the </w:t>
      </w:r>
      <w:r w:rsidR="00060BD0">
        <w:t>Trial Site</w:t>
      </w:r>
      <w:r w:rsidRPr="00721C2B">
        <w:t xml:space="preserve"> is constituted.</w:t>
      </w:r>
    </w:p>
    <w:p w14:paraId="7F926159" w14:textId="0D9BD5B8" w:rsidR="008637D2" w:rsidRPr="008637D2" w:rsidRDefault="008637D2" w:rsidP="00EF50C6">
      <w:pPr>
        <w:pStyle w:val="Normalnos"/>
      </w:pPr>
      <w:r w:rsidRPr="001D09C8">
        <w:t>Clause 20.4</w:t>
      </w:r>
      <w:r>
        <w:t>:</w:t>
      </w:r>
      <w:r w:rsidRPr="001D09C8">
        <w:t xml:space="preserve"> Governing Law </w:t>
      </w:r>
      <w:r>
        <w:t>and</w:t>
      </w:r>
      <w:r w:rsidRPr="001D09C8">
        <w:t xml:space="preserve"> Jurisdiction</w:t>
      </w:r>
    </w:p>
    <w:p w14:paraId="1849D704" w14:textId="79FDDCB1" w:rsidR="008637D2" w:rsidRDefault="008637D2" w:rsidP="008637D2">
      <w:pPr>
        <w:ind w:left="567"/>
      </w:pPr>
      <w:r w:rsidRPr="00721C2B">
        <w:t xml:space="preserve">The Governing law of the </w:t>
      </w:r>
      <w:proofErr w:type="spellStart"/>
      <w:r w:rsidRPr="00721C2B">
        <w:t>mCTA</w:t>
      </w:r>
      <w:proofErr w:type="spellEnd"/>
      <w:r w:rsidRPr="00721C2B">
        <w:t xml:space="preserve"> and CRO-</w:t>
      </w:r>
      <w:proofErr w:type="spellStart"/>
      <w:r w:rsidRPr="00721C2B">
        <w:t>mCTA</w:t>
      </w:r>
      <w:proofErr w:type="spellEnd"/>
      <w:r w:rsidRPr="00721C2B">
        <w:t xml:space="preserve"> is determined by reference to the nation of the UK within which the </w:t>
      </w:r>
      <w:r w:rsidR="00356848">
        <w:t>Trial Site</w:t>
      </w:r>
      <w:r w:rsidRPr="00721C2B">
        <w:t xml:space="preserve"> is constituted.</w:t>
      </w:r>
    </w:p>
    <w:p w14:paraId="2E629DBB" w14:textId="1424022C" w:rsidR="008637D2" w:rsidRPr="008637D2" w:rsidRDefault="008637D2" w:rsidP="00EF50C6">
      <w:pPr>
        <w:pStyle w:val="Normalnos"/>
      </w:pPr>
      <w:r w:rsidRPr="00C81818">
        <w:t>Clause 20.5: Counterparts and Signatures</w:t>
      </w:r>
    </w:p>
    <w:p w14:paraId="0D62E30E" w14:textId="572476FE" w:rsidR="008637D2" w:rsidRDefault="008637D2" w:rsidP="008637D2">
      <w:pPr>
        <w:ind w:left="567"/>
      </w:pPr>
      <w:r w:rsidRPr="007419A3">
        <w:t xml:space="preserve">The signatories to the </w:t>
      </w:r>
      <w:proofErr w:type="spellStart"/>
      <w:r w:rsidRPr="007419A3">
        <w:t>mCTA</w:t>
      </w:r>
      <w:proofErr w:type="spellEnd"/>
      <w:r w:rsidRPr="007419A3">
        <w:t xml:space="preserve"> and CRO-</w:t>
      </w:r>
      <w:proofErr w:type="spellStart"/>
      <w:r w:rsidRPr="007419A3">
        <w:t>mCTA</w:t>
      </w:r>
      <w:proofErr w:type="spellEnd"/>
      <w:r w:rsidRPr="007419A3">
        <w:t xml:space="preserve"> will be the authorised representatives of the </w:t>
      </w:r>
      <w:r>
        <w:t>S</w:t>
      </w:r>
      <w:r w:rsidRPr="007419A3">
        <w:t xml:space="preserve">ponsor and the </w:t>
      </w:r>
      <w:r w:rsidR="00952E53">
        <w:t>Trial Site</w:t>
      </w:r>
      <w:r w:rsidRPr="007419A3">
        <w:t xml:space="preserve"> (and CRO, where applicable). </w:t>
      </w:r>
      <w:r>
        <w:t>In</w:t>
      </w:r>
      <w:r w:rsidRPr="007419A3">
        <w:t xml:space="preserve"> the case of the </w:t>
      </w:r>
      <w:r w:rsidR="00952E53">
        <w:t>Trial Site</w:t>
      </w:r>
      <w:r w:rsidRPr="007419A3">
        <w:t>, the signatory might be the Chief Executive, the Director of R&amp;D</w:t>
      </w:r>
      <w:r>
        <w:t xml:space="preserve">, </w:t>
      </w:r>
      <w:r w:rsidRPr="007419A3">
        <w:t>the Director of Finance</w:t>
      </w:r>
      <w:r>
        <w:t>, or another authorised person</w:t>
      </w:r>
      <w:r w:rsidRPr="007419A3">
        <w:t xml:space="preserve">. In the case of the </w:t>
      </w:r>
      <w:r>
        <w:t>S</w:t>
      </w:r>
      <w:r w:rsidRPr="007419A3">
        <w:t xml:space="preserve">ponsor, if the </w:t>
      </w:r>
      <w:r>
        <w:t>S</w:t>
      </w:r>
      <w:r w:rsidRPr="007419A3">
        <w:t xml:space="preserve">ponsor has </w:t>
      </w:r>
      <w:r>
        <w:t xml:space="preserve">formally </w:t>
      </w:r>
      <w:r w:rsidRPr="007419A3">
        <w:t xml:space="preserve">delegated authority to contractually bind it to a corporate affiliate of the </w:t>
      </w:r>
      <w:r>
        <w:t>S</w:t>
      </w:r>
      <w:r w:rsidRPr="007419A3">
        <w:t>ponsor</w:t>
      </w:r>
      <w:r w:rsidR="006720CD">
        <w:t xml:space="preserve"> (or any other third party)</w:t>
      </w:r>
      <w:r>
        <w:t xml:space="preserve">, this should be evidenced at </w:t>
      </w:r>
      <w:proofErr w:type="spellStart"/>
      <w:r>
        <w:t>mCTA</w:t>
      </w:r>
      <w:proofErr w:type="spellEnd"/>
      <w:r>
        <w:t xml:space="preserve"> Appendix 8 (CRO-</w:t>
      </w:r>
      <w:proofErr w:type="spellStart"/>
      <w:r>
        <w:t>mCTA</w:t>
      </w:r>
      <w:proofErr w:type="spellEnd"/>
      <w:r>
        <w:t xml:space="preserve"> Appendix 9). In the case of CRO-</w:t>
      </w:r>
      <w:proofErr w:type="spellStart"/>
      <w:r>
        <w:t>mCTA</w:t>
      </w:r>
      <w:proofErr w:type="spellEnd"/>
      <w:r>
        <w:t>, if the Sponsor has formally delegated authority to the CRO to sign the Agreement, and thereby bind the Sponsor as a Party to the Agreement, this should be</w:t>
      </w:r>
      <w:r w:rsidRPr="007419A3">
        <w:t xml:space="preserve"> evidence</w:t>
      </w:r>
      <w:r>
        <w:t>d in Appendix 8 of CRO-</w:t>
      </w:r>
      <w:proofErr w:type="spellStart"/>
      <w:r>
        <w:t>mCTA</w:t>
      </w:r>
      <w:proofErr w:type="spellEnd"/>
      <w:r>
        <w:t>.</w:t>
      </w:r>
    </w:p>
    <w:p w14:paraId="25AD4237" w14:textId="77777777" w:rsidR="008637D2" w:rsidRPr="007419A3" w:rsidRDefault="008637D2" w:rsidP="008637D2">
      <w:pPr>
        <w:ind w:left="567"/>
      </w:pPr>
      <w:r w:rsidRPr="007419A3">
        <w:t xml:space="preserve">The </w:t>
      </w:r>
      <w:proofErr w:type="spellStart"/>
      <w:r w:rsidRPr="007419A3">
        <w:t>mCTAs</w:t>
      </w:r>
      <w:proofErr w:type="spellEnd"/>
      <w:r w:rsidRPr="007419A3">
        <w:t xml:space="preserve"> allow for execution to be through use of an electronic signature and for execution to be via counterparts. </w:t>
      </w:r>
    </w:p>
    <w:p w14:paraId="02D1FF51" w14:textId="5F080416" w:rsidR="008637D2" w:rsidRDefault="008637D2" w:rsidP="008637D2">
      <w:pPr>
        <w:ind w:left="567"/>
      </w:pPr>
      <w:r w:rsidRPr="007419A3">
        <w:t xml:space="preserve">Sponsors, CROs (as applicable) and </w:t>
      </w:r>
      <w:r w:rsidR="00601325">
        <w:t>Trial Sites</w:t>
      </w:r>
      <w:r w:rsidRPr="007419A3">
        <w:t xml:space="preserve"> are encouraged to discuss execution arrangements early in the </w:t>
      </w:r>
      <w:r>
        <w:t>contract negotiation,</w:t>
      </w:r>
      <w:r w:rsidRPr="007419A3">
        <w:t xml:space="preserve"> </w:t>
      </w:r>
      <w:proofErr w:type="gramStart"/>
      <w:r w:rsidRPr="007419A3">
        <w:t>in order to</w:t>
      </w:r>
      <w:proofErr w:type="gramEnd"/>
      <w:r w:rsidRPr="007419A3">
        <w:t xml:space="preserve"> determine the most appropriate arrangements for all </w:t>
      </w:r>
      <w:r w:rsidR="00640DEC">
        <w:t>P</w:t>
      </w:r>
      <w:r w:rsidRPr="007419A3">
        <w:t>arties.</w:t>
      </w:r>
    </w:p>
    <w:p w14:paraId="37E016C5" w14:textId="79CB8BC7" w:rsidR="008637D2" w:rsidRPr="008637D2" w:rsidRDefault="008637D2" w:rsidP="00EF50C6">
      <w:pPr>
        <w:pStyle w:val="Normalnos"/>
      </w:pPr>
      <w:r w:rsidRPr="00C81818">
        <w:lastRenderedPageBreak/>
        <w:t>Appendix 1</w:t>
      </w:r>
      <w:r w:rsidR="00593849">
        <w:t>: Timelines and Responsibilities of the Parties</w:t>
      </w:r>
    </w:p>
    <w:p w14:paraId="6318C580" w14:textId="6ACECED4" w:rsidR="008637D2" w:rsidRPr="008637D2" w:rsidRDefault="008637D2" w:rsidP="008637D2">
      <w:pPr>
        <w:ind w:left="567"/>
      </w:pPr>
      <w:r w:rsidRPr="007419A3">
        <w:t>The milestones included in this</w:t>
      </w:r>
      <w:r>
        <w:t xml:space="preserve"> A</w:t>
      </w:r>
      <w:r w:rsidRPr="007419A3">
        <w:t xml:space="preserve">ppendix are by way of example and the </w:t>
      </w:r>
      <w:r w:rsidR="00640DEC">
        <w:t>P</w:t>
      </w:r>
      <w:r w:rsidRPr="007419A3">
        <w:t xml:space="preserve">arties may jointly amend the list as they see fit. It is noted that the target dates should be determined in relation to individual </w:t>
      </w:r>
      <w:r w:rsidR="0055437C">
        <w:t>Trial S</w:t>
      </w:r>
      <w:r w:rsidRPr="007419A3">
        <w:t xml:space="preserve">ites and not in relation to the relevant clinical </w:t>
      </w:r>
      <w:proofErr w:type="gramStart"/>
      <w:r w:rsidRPr="007419A3">
        <w:t>trial as a whole</w:t>
      </w:r>
      <w:proofErr w:type="gramEnd"/>
      <w:r w:rsidRPr="007419A3">
        <w:t xml:space="preserve">. Timelines will require early negotiation involving the </w:t>
      </w:r>
      <w:r>
        <w:t>P</w:t>
      </w:r>
      <w:r w:rsidRPr="007419A3">
        <w:t xml:space="preserve">rincipal </w:t>
      </w:r>
      <w:r>
        <w:t>I</w:t>
      </w:r>
      <w:r w:rsidRPr="007419A3">
        <w:t xml:space="preserve">nvestigator and the </w:t>
      </w:r>
      <w:r>
        <w:t>S</w:t>
      </w:r>
      <w:r w:rsidRPr="007419A3">
        <w:t xml:space="preserve">ponsor (and the CRO, where applicable). It will be particularly important that they are realistic with respect to the date that the protocol will be finalised, and should build in as footnotes, contingency plans for changes </w:t>
      </w:r>
      <w:proofErr w:type="gramStart"/>
      <w:r w:rsidRPr="007419A3">
        <w:t>in the event that</w:t>
      </w:r>
      <w:proofErr w:type="gramEnd"/>
      <w:r w:rsidRPr="007419A3">
        <w:t xml:space="preserve"> there is delay in, for example, regulatory or ethics committee approval. The shared responsibilities indicated on the table in Appendix 1 show that the timing of some events is dependent on good co-ordination between the </w:t>
      </w:r>
      <w:r w:rsidR="00B678F6">
        <w:t>P</w:t>
      </w:r>
      <w:r w:rsidRPr="007419A3">
        <w:t xml:space="preserve">arties in, for example, scheduling </w:t>
      </w:r>
      <w:r w:rsidR="00B678F6">
        <w:t>the</w:t>
      </w:r>
      <w:r w:rsidRPr="007419A3">
        <w:t xml:space="preserve"> availabilities </w:t>
      </w:r>
      <w:r w:rsidR="00B678F6">
        <w:t xml:space="preserve">of the PI and all </w:t>
      </w:r>
      <w:r w:rsidR="00F27621">
        <w:t xml:space="preserve">relevant Personnel </w:t>
      </w:r>
      <w:r w:rsidRPr="007419A3">
        <w:t>for the initiation visit.</w:t>
      </w:r>
    </w:p>
    <w:p w14:paraId="0BA3BFC9" w14:textId="3C8F17B7" w:rsidR="008637D2" w:rsidRPr="008637D2" w:rsidRDefault="008637D2" w:rsidP="00EF50C6">
      <w:pPr>
        <w:pStyle w:val="Normalnos"/>
      </w:pPr>
      <w:r w:rsidRPr="00C81818">
        <w:t>Appendix 2: ABPI Clinical Trial Compensation Guidelines 2015 and Appendix 3: Form of Indemnity</w:t>
      </w:r>
    </w:p>
    <w:p w14:paraId="5627BEBB" w14:textId="5F1E54AB" w:rsidR="00EB0743" w:rsidRDefault="008637D2" w:rsidP="008637D2">
      <w:pPr>
        <w:ind w:left="567"/>
      </w:pPr>
      <w:r w:rsidRPr="007419A3">
        <w:t>Both appendices are the current ABPI documents and no proposed modifications to either will be accepted.</w:t>
      </w:r>
    </w:p>
    <w:p w14:paraId="7982BA21" w14:textId="19E8AFCE" w:rsidR="008637D2" w:rsidRPr="008637D2" w:rsidRDefault="008637D2" w:rsidP="00EF50C6">
      <w:pPr>
        <w:pStyle w:val="Normalnos"/>
      </w:pPr>
      <w:r w:rsidRPr="00C81818">
        <w:t>Appendix 4</w:t>
      </w:r>
      <w:r w:rsidR="00593849">
        <w:t>: Financial Arrangements</w:t>
      </w:r>
    </w:p>
    <w:p w14:paraId="0A88A687" w14:textId="0A88FCD0" w:rsidR="008637D2" w:rsidRPr="007419A3" w:rsidRDefault="008637D2" w:rsidP="008637D2">
      <w:pPr>
        <w:ind w:left="567"/>
      </w:pPr>
      <w:r w:rsidRPr="007419A3">
        <w:t xml:space="preserve">The financial arrangements for the </w:t>
      </w:r>
      <w:r w:rsidR="00F27621">
        <w:t>C</w:t>
      </w:r>
      <w:r w:rsidRPr="007419A3">
        <w:t xml:space="preserve">linical </w:t>
      </w:r>
      <w:r w:rsidR="00F27621">
        <w:t>T</w:t>
      </w:r>
      <w:r w:rsidRPr="007419A3">
        <w:t>rial</w:t>
      </w:r>
      <w:r w:rsidR="004666E7">
        <w:t xml:space="preserve"> </w:t>
      </w:r>
      <w:r w:rsidR="00261BBF">
        <w:t>between the Sponsor (and CRO, where applicable)</w:t>
      </w:r>
      <w:r w:rsidR="007557C2">
        <w:t xml:space="preserve"> and the Trial Site</w:t>
      </w:r>
      <w:r w:rsidRPr="007419A3">
        <w:t xml:space="preserve"> </w:t>
      </w:r>
      <w:r w:rsidR="001421CE">
        <w:t>are included</w:t>
      </w:r>
      <w:r w:rsidRPr="007419A3">
        <w:t xml:space="preserve"> as Appendix 4 of the </w:t>
      </w:r>
      <w:proofErr w:type="spellStart"/>
      <w:r w:rsidRPr="007419A3">
        <w:t>mCTAs</w:t>
      </w:r>
      <w:proofErr w:type="spellEnd"/>
      <w:r w:rsidRPr="007419A3">
        <w:t xml:space="preserve">. Sponsors (and/or CROs, as applicable) should use the NIHR </w:t>
      </w:r>
      <w:r>
        <w:t>interactive</w:t>
      </w:r>
      <w:r w:rsidRPr="007419A3">
        <w:t xml:space="preserve"> Costing Tool (iCT) to </w:t>
      </w:r>
      <w:r w:rsidR="00583A82">
        <w:t>create the</w:t>
      </w:r>
      <w:r w:rsidR="007F7378">
        <w:t xml:space="preserve"> </w:t>
      </w:r>
      <w:r w:rsidR="008F2EDE">
        <w:t>Finance Schedule</w:t>
      </w:r>
      <w:r w:rsidR="00583A82">
        <w:t xml:space="preserve"> for the Trial Site</w:t>
      </w:r>
      <w:r w:rsidR="00F27621">
        <w:t>, after the conclusion of the national resource review,</w:t>
      </w:r>
      <w:r w:rsidR="00884D14">
        <w:t xml:space="preserve"> </w:t>
      </w:r>
      <w:r w:rsidR="00583A82">
        <w:t>and include this as</w:t>
      </w:r>
      <w:r w:rsidR="00884D14">
        <w:t xml:space="preserve"> Clause 1</w:t>
      </w:r>
      <w:r w:rsidR="000829EE">
        <w:t>3</w:t>
      </w:r>
      <w:r w:rsidR="00884D14">
        <w:t xml:space="preserve"> of the </w:t>
      </w:r>
      <w:r w:rsidR="00F46AC0">
        <w:t xml:space="preserve">Financial Arrangements </w:t>
      </w:r>
      <w:r w:rsidR="00884D14">
        <w:t>Appendix</w:t>
      </w:r>
      <w:r w:rsidRPr="007419A3">
        <w:t>.</w:t>
      </w:r>
      <w:r w:rsidR="0080190D">
        <w:t xml:space="preserve"> Modifications to the Financial Arrangements Appendix</w:t>
      </w:r>
      <w:r w:rsidR="005405CC">
        <w:t xml:space="preserve"> outside of the yellow highlighted areas</w:t>
      </w:r>
      <w:r w:rsidR="0080190D">
        <w:t xml:space="preserve"> are not permitted.</w:t>
      </w:r>
    </w:p>
    <w:p w14:paraId="37695180" w14:textId="564FE9CD" w:rsidR="008637D2" w:rsidRPr="007419A3" w:rsidRDefault="008637D2" w:rsidP="008637D2">
      <w:pPr>
        <w:ind w:left="567"/>
      </w:pPr>
      <w:r w:rsidRPr="007419A3">
        <w:t xml:space="preserve">The financial and other interests of universities that might employ the medical academics and sometimes the research fellows and research nurses involved in clinical trials should be recognised by </w:t>
      </w:r>
      <w:r w:rsidR="00601325">
        <w:t>Trial Sites</w:t>
      </w:r>
      <w:r w:rsidRPr="007419A3">
        <w:t xml:space="preserve">. The notification arrangements noted above are designed to ensure that universities have the information needed for the protection of their interests. There should be formal agreement between </w:t>
      </w:r>
      <w:r w:rsidR="00601325">
        <w:t>Trial Sites</w:t>
      </w:r>
      <w:r w:rsidRPr="007419A3">
        <w:t xml:space="preserve"> and universities, covering their entire clinical trials portfolio, setting out processes for the identification of the university’s direct and indirect costs and overheads, and the apportioning of research income between the institutions. This issue could be covered in the partnership agreements between </w:t>
      </w:r>
      <w:r w:rsidR="00601325">
        <w:t>Trial Sites</w:t>
      </w:r>
      <w:r w:rsidRPr="007419A3">
        <w:t xml:space="preserve"> and associated academic institutions that are negotiated in the process of implementing research governance arrangements. </w:t>
      </w:r>
    </w:p>
    <w:p w14:paraId="5E6867C7" w14:textId="42B8F3DA" w:rsidR="008637D2" w:rsidRPr="007419A3" w:rsidRDefault="008637D2" w:rsidP="008637D2">
      <w:pPr>
        <w:ind w:left="567"/>
      </w:pPr>
      <w:r w:rsidRPr="007419A3">
        <w:t>There should not be separate financial arrangements between the Sponsor (</w:t>
      </w:r>
      <w:r>
        <w:t>or</w:t>
      </w:r>
      <w:r w:rsidRPr="007419A3">
        <w:t xml:space="preserve"> CRO, as applicable) and any </w:t>
      </w:r>
      <w:r w:rsidR="007B6E32">
        <w:t>Trial Site</w:t>
      </w:r>
      <w:r w:rsidRPr="007419A3">
        <w:t xml:space="preserve"> departments such as the pharmacy, nor with the university that employs an investigator.</w:t>
      </w:r>
    </w:p>
    <w:p w14:paraId="76139413" w14:textId="27ADC47C" w:rsidR="00615E01" w:rsidRDefault="00615E01" w:rsidP="00EF50C6">
      <w:pPr>
        <w:pStyle w:val="Normalnos"/>
      </w:pPr>
      <w:r>
        <w:t xml:space="preserve">Appendix 4: </w:t>
      </w:r>
      <w:r w:rsidR="008E3068">
        <w:t xml:space="preserve">Clause 2: </w:t>
      </w:r>
      <w:r w:rsidR="00CF2559">
        <w:t xml:space="preserve">Invoicing and </w:t>
      </w:r>
      <w:r w:rsidR="008E3068">
        <w:t>VAT</w:t>
      </w:r>
    </w:p>
    <w:p w14:paraId="6F065036" w14:textId="1EA492F2" w:rsidR="004D45C6" w:rsidRDefault="00C1235C" w:rsidP="00CF2559">
      <w:pPr>
        <w:pStyle w:val="Normalnos"/>
        <w:numPr>
          <w:ilvl w:val="0"/>
          <w:numId w:val="0"/>
        </w:numPr>
        <w:ind w:left="567"/>
        <w:rPr>
          <w:b w:val="0"/>
          <w:bCs/>
        </w:rPr>
      </w:pPr>
      <w:r>
        <w:rPr>
          <w:b w:val="0"/>
          <w:bCs/>
        </w:rPr>
        <w:t>Sponsors and Trial Sites should work together to ensure that payment</w:t>
      </w:r>
      <w:r w:rsidR="00B02E61">
        <w:rPr>
          <w:b w:val="0"/>
          <w:bCs/>
        </w:rPr>
        <w:t>s to the Trial Site are kept up to date. This is particularly important when considering the implementation of contract variations</w:t>
      </w:r>
      <w:r w:rsidR="00380BEF">
        <w:rPr>
          <w:b w:val="0"/>
          <w:bCs/>
        </w:rPr>
        <w:t xml:space="preserve">, and especially when updating the Finance </w:t>
      </w:r>
      <w:r w:rsidR="00380BEF">
        <w:rPr>
          <w:b w:val="0"/>
          <w:bCs/>
        </w:rPr>
        <w:lastRenderedPageBreak/>
        <w:t>Schedule to account for inflation</w:t>
      </w:r>
      <w:r w:rsidR="00BC69F7">
        <w:rPr>
          <w:b w:val="0"/>
          <w:bCs/>
        </w:rPr>
        <w:t>, to ensure that any new prices do not apply to activities which</w:t>
      </w:r>
      <w:r w:rsidR="00D65A91" w:rsidRPr="00D65A91">
        <w:rPr>
          <w:b w:val="0"/>
          <w:bCs/>
        </w:rPr>
        <w:t xml:space="preserve"> </w:t>
      </w:r>
      <w:r w:rsidR="00D65A91">
        <w:rPr>
          <w:b w:val="0"/>
          <w:bCs/>
        </w:rPr>
        <w:t>have not yet been invoiced for and</w:t>
      </w:r>
      <w:r w:rsidR="00BC69F7">
        <w:rPr>
          <w:b w:val="0"/>
          <w:bCs/>
        </w:rPr>
        <w:t xml:space="preserve"> took place a long time ago.</w:t>
      </w:r>
    </w:p>
    <w:p w14:paraId="04A66580" w14:textId="010D1C60" w:rsidR="00CF2559" w:rsidRDefault="00924B9E" w:rsidP="00CF2559">
      <w:pPr>
        <w:pStyle w:val="Normalnos"/>
        <w:numPr>
          <w:ilvl w:val="0"/>
          <w:numId w:val="0"/>
        </w:numPr>
        <w:ind w:left="567"/>
        <w:rPr>
          <w:b w:val="0"/>
          <w:bCs/>
        </w:rPr>
      </w:pPr>
      <w:r w:rsidRPr="00C0283A">
        <w:rPr>
          <w:b w:val="0"/>
          <w:bCs/>
        </w:rPr>
        <w:t xml:space="preserve">It is </w:t>
      </w:r>
      <w:r>
        <w:rPr>
          <w:b w:val="0"/>
          <w:bCs/>
        </w:rPr>
        <w:t>the responsibility of the Trial Site to include VAT on invoices</w:t>
      </w:r>
      <w:r w:rsidR="004D362C">
        <w:rPr>
          <w:b w:val="0"/>
          <w:bCs/>
        </w:rPr>
        <w:t xml:space="preserve"> where needed, however, the Sponsor or CRO needs to provide information to support the Trial Site in identifying when VAT is applicable.</w:t>
      </w:r>
      <w:r w:rsidR="000A5481">
        <w:rPr>
          <w:b w:val="0"/>
          <w:bCs/>
        </w:rPr>
        <w:t xml:space="preserve"> </w:t>
      </w:r>
      <w:r w:rsidR="00B4117D">
        <w:rPr>
          <w:b w:val="0"/>
          <w:bCs/>
        </w:rPr>
        <w:t>HMRC’s guidance</w:t>
      </w:r>
      <w:r w:rsidR="00244001">
        <w:rPr>
          <w:b w:val="0"/>
          <w:bCs/>
        </w:rPr>
        <w:t xml:space="preserve"> </w:t>
      </w:r>
      <w:hyperlink r:id="rId20" w:history="1">
        <w:r w:rsidR="00244001" w:rsidRPr="00B4117D">
          <w:rPr>
            <w:rStyle w:val="Hyperlink"/>
            <w:b w:val="0"/>
            <w:bCs/>
          </w:rPr>
          <w:t xml:space="preserve">VAT </w:t>
        </w:r>
        <w:r w:rsidR="00B4117D" w:rsidRPr="00B4117D">
          <w:rPr>
            <w:rStyle w:val="Hyperlink"/>
            <w:b w:val="0"/>
            <w:bCs/>
          </w:rPr>
          <w:t>H</w:t>
        </w:r>
        <w:r w:rsidR="00244001" w:rsidRPr="00B4117D">
          <w:rPr>
            <w:rStyle w:val="Hyperlink"/>
            <w:b w:val="0"/>
            <w:bCs/>
          </w:rPr>
          <w:t>ealth</w:t>
        </w:r>
      </w:hyperlink>
      <w:r w:rsidR="00570241">
        <w:rPr>
          <w:b w:val="0"/>
          <w:bCs/>
        </w:rPr>
        <w:t xml:space="preserve"> is available on </w:t>
      </w:r>
      <w:r w:rsidR="00B4117D">
        <w:rPr>
          <w:b w:val="0"/>
          <w:bCs/>
        </w:rPr>
        <w:t>their</w:t>
      </w:r>
      <w:r w:rsidR="00570241">
        <w:rPr>
          <w:b w:val="0"/>
          <w:bCs/>
        </w:rPr>
        <w:t xml:space="preserve"> website. </w:t>
      </w:r>
      <w:proofErr w:type="gramStart"/>
      <w:r w:rsidR="000A5481">
        <w:rPr>
          <w:b w:val="0"/>
          <w:bCs/>
        </w:rPr>
        <w:t>As a general rule</w:t>
      </w:r>
      <w:proofErr w:type="gramEnd"/>
      <w:r w:rsidR="000A5481">
        <w:rPr>
          <w:b w:val="0"/>
          <w:bCs/>
        </w:rPr>
        <w:t xml:space="preserve">, the following </w:t>
      </w:r>
      <w:r w:rsidR="0007364E">
        <w:rPr>
          <w:b w:val="0"/>
          <w:bCs/>
        </w:rPr>
        <w:t>criteria apply:</w:t>
      </w:r>
    </w:p>
    <w:p w14:paraId="29155B1D" w14:textId="6F1247AA" w:rsidR="0007364E" w:rsidRDefault="000908BB" w:rsidP="0007364E">
      <w:pPr>
        <w:pStyle w:val="Normalnos"/>
        <w:numPr>
          <w:ilvl w:val="0"/>
          <w:numId w:val="42"/>
        </w:numPr>
        <w:rPr>
          <w:b w:val="0"/>
          <w:bCs/>
        </w:rPr>
      </w:pPr>
      <w:r>
        <w:rPr>
          <w:b w:val="0"/>
          <w:bCs/>
        </w:rPr>
        <w:t>when</w:t>
      </w:r>
      <w:r w:rsidR="0007364E">
        <w:rPr>
          <w:b w:val="0"/>
          <w:bCs/>
        </w:rPr>
        <w:t xml:space="preserve"> </w:t>
      </w:r>
      <w:r w:rsidR="00986EF7">
        <w:rPr>
          <w:b w:val="0"/>
          <w:bCs/>
        </w:rPr>
        <w:t xml:space="preserve">invoicing a company at an address in the UK, VAT is </w:t>
      </w:r>
      <w:proofErr w:type="gramStart"/>
      <w:r w:rsidR="00986EF7">
        <w:rPr>
          <w:b w:val="0"/>
          <w:bCs/>
        </w:rPr>
        <w:t>chargeable</w:t>
      </w:r>
      <w:r>
        <w:rPr>
          <w:b w:val="0"/>
          <w:bCs/>
        </w:rPr>
        <w:t>;</w:t>
      </w:r>
      <w:proofErr w:type="gramEnd"/>
    </w:p>
    <w:p w14:paraId="4BFDEF50" w14:textId="223D9BE4" w:rsidR="00986EF7" w:rsidRDefault="000908BB" w:rsidP="0007364E">
      <w:pPr>
        <w:pStyle w:val="Normalnos"/>
        <w:numPr>
          <w:ilvl w:val="0"/>
          <w:numId w:val="42"/>
        </w:numPr>
        <w:rPr>
          <w:b w:val="0"/>
          <w:bCs/>
        </w:rPr>
      </w:pPr>
      <w:r>
        <w:rPr>
          <w:b w:val="0"/>
          <w:bCs/>
        </w:rPr>
        <w:t>w</w:t>
      </w:r>
      <w:r w:rsidR="00986EF7">
        <w:rPr>
          <w:b w:val="0"/>
          <w:bCs/>
        </w:rPr>
        <w:t xml:space="preserve">hen invoicing a company at an address outside of the UK, zero-rated VAT should be added to </w:t>
      </w:r>
      <w:proofErr w:type="gramStart"/>
      <w:r>
        <w:rPr>
          <w:b w:val="0"/>
          <w:bCs/>
        </w:rPr>
        <w:t>invoices;</w:t>
      </w:r>
      <w:proofErr w:type="gramEnd"/>
    </w:p>
    <w:p w14:paraId="33072367" w14:textId="6BDAEB3F" w:rsidR="000908BB" w:rsidRDefault="000908BB" w:rsidP="0007364E">
      <w:pPr>
        <w:pStyle w:val="Normalnos"/>
        <w:numPr>
          <w:ilvl w:val="0"/>
          <w:numId w:val="42"/>
        </w:numPr>
        <w:rPr>
          <w:b w:val="0"/>
          <w:bCs/>
        </w:rPr>
      </w:pPr>
      <w:r>
        <w:rPr>
          <w:b w:val="0"/>
          <w:bCs/>
        </w:rPr>
        <w:t xml:space="preserve">when a Trial Site purchases equipment from a </w:t>
      </w:r>
      <w:r w:rsidR="00673077">
        <w:rPr>
          <w:b w:val="0"/>
          <w:bCs/>
        </w:rPr>
        <w:t>higher education institution, the purchase is exempt from VAT.</w:t>
      </w:r>
    </w:p>
    <w:p w14:paraId="73BEA13D" w14:textId="4670B872" w:rsidR="00673077" w:rsidRPr="00C0283A" w:rsidRDefault="00687BD0" w:rsidP="00126AE8">
      <w:pPr>
        <w:pStyle w:val="Normalnos"/>
        <w:numPr>
          <w:ilvl w:val="0"/>
          <w:numId w:val="0"/>
        </w:numPr>
        <w:ind w:left="567"/>
        <w:rPr>
          <w:b w:val="0"/>
          <w:bCs/>
        </w:rPr>
      </w:pPr>
      <w:r>
        <w:rPr>
          <w:b w:val="0"/>
          <w:bCs/>
        </w:rPr>
        <w:t>Sponsors, CROs and Trial Sites should seek detail</w:t>
      </w:r>
      <w:r w:rsidR="0075242D">
        <w:rPr>
          <w:b w:val="0"/>
          <w:bCs/>
        </w:rPr>
        <w:t>ed</w:t>
      </w:r>
      <w:r>
        <w:rPr>
          <w:b w:val="0"/>
          <w:bCs/>
        </w:rPr>
        <w:t xml:space="preserve"> guidance on VAT requirements from their local tax office as needed.</w:t>
      </w:r>
    </w:p>
    <w:p w14:paraId="235BF08D" w14:textId="08A3838C" w:rsidR="00155931" w:rsidRPr="00EB0743" w:rsidRDefault="00155931" w:rsidP="00155931">
      <w:pPr>
        <w:pStyle w:val="Normalnos"/>
      </w:pPr>
      <w:r>
        <w:t xml:space="preserve">Appendix 4: </w:t>
      </w:r>
      <w:r w:rsidRPr="00F80B90">
        <w:t>Clause 2.</w:t>
      </w:r>
      <w:r w:rsidR="0096117D">
        <w:t>3</w:t>
      </w:r>
      <w:r w:rsidR="00E430BA">
        <w:t>: Payment term</w:t>
      </w:r>
    </w:p>
    <w:p w14:paraId="19280454" w14:textId="77777777" w:rsidR="00155931" w:rsidRPr="00EB0743" w:rsidRDefault="00155931" w:rsidP="00155931">
      <w:pPr>
        <w:ind w:left="567"/>
      </w:pPr>
      <w:r w:rsidRPr="00721C2B">
        <w:t xml:space="preserve">The </w:t>
      </w:r>
      <w:proofErr w:type="spellStart"/>
      <w:r w:rsidRPr="00721C2B">
        <w:t>mCTAs</w:t>
      </w:r>
      <w:proofErr w:type="spellEnd"/>
      <w:r w:rsidRPr="00721C2B">
        <w:t xml:space="preserve"> provide a payment term of </w:t>
      </w:r>
      <w:r>
        <w:t>forty-five (</w:t>
      </w:r>
      <w:r w:rsidRPr="00721C2B">
        <w:t>45</w:t>
      </w:r>
      <w:r>
        <w:t>)</w:t>
      </w:r>
      <w:r w:rsidRPr="00721C2B">
        <w:t xml:space="preserve"> days. </w:t>
      </w:r>
      <w:r>
        <w:t>T</w:t>
      </w:r>
      <w:r w:rsidRPr="00721C2B">
        <w:t xml:space="preserve">his payment term should not be revised with respect to any specific Clinical Trial. This payment term represents a balance between the financial processes of </w:t>
      </w:r>
      <w:r>
        <w:t>Trial Sites</w:t>
      </w:r>
      <w:r w:rsidRPr="00721C2B">
        <w:t xml:space="preserve"> and those of </w:t>
      </w:r>
      <w:r>
        <w:t>Sponsors</w:t>
      </w:r>
      <w:r w:rsidRPr="00721C2B">
        <w:t xml:space="preserve"> and CROs.</w:t>
      </w:r>
    </w:p>
    <w:p w14:paraId="2ABF1673" w14:textId="772D17B1" w:rsidR="001C73EB" w:rsidRPr="00EB0743" w:rsidRDefault="008606BD" w:rsidP="001C73EB">
      <w:pPr>
        <w:pStyle w:val="Normalnos"/>
      </w:pPr>
      <w:r>
        <w:t xml:space="preserve">Appendix 4: </w:t>
      </w:r>
      <w:r w:rsidR="001C73EB" w:rsidRPr="00F80B90">
        <w:t>Clause 2.</w:t>
      </w:r>
      <w:r w:rsidR="00155931">
        <w:t>1</w:t>
      </w:r>
      <w:r w:rsidR="004D3CA6">
        <w:t>2</w:t>
      </w:r>
      <w:r w:rsidR="001C73EB">
        <w:t>:</w:t>
      </w:r>
      <w:r w:rsidR="001C73EB" w:rsidRPr="00F80B90">
        <w:t xml:space="preserve"> Longstop </w:t>
      </w:r>
      <w:r w:rsidR="001C73EB">
        <w:t>d</w:t>
      </w:r>
      <w:r w:rsidR="001C73EB" w:rsidRPr="00F80B90">
        <w:t>ates</w:t>
      </w:r>
    </w:p>
    <w:p w14:paraId="4F0E262A" w14:textId="4B1964C3" w:rsidR="004C1BD4" w:rsidRPr="00EB0743" w:rsidRDefault="001C73EB" w:rsidP="00197759">
      <w:pPr>
        <w:ind w:left="567"/>
      </w:pPr>
      <w:r w:rsidRPr="00721C2B">
        <w:t xml:space="preserve">It is noted that the </w:t>
      </w:r>
      <w:r>
        <w:t>Sponsor</w:t>
      </w:r>
      <w:r w:rsidRPr="00721C2B">
        <w:t xml:space="preserve"> (or CRO, as applicable) has a right to refuse payment of invoices which are not dated within </w:t>
      </w:r>
      <w:r w:rsidR="003B61E2">
        <w:t>sixty (</w:t>
      </w:r>
      <w:r w:rsidRPr="00721C2B">
        <w:t>60</w:t>
      </w:r>
      <w:r w:rsidR="003B61E2">
        <w:t>)</w:t>
      </w:r>
      <w:r w:rsidRPr="00721C2B">
        <w:t xml:space="preserve"> days of site close out (or within</w:t>
      </w:r>
      <w:r>
        <w:t xml:space="preserve"> sixty</w:t>
      </w:r>
      <w:r w:rsidRPr="00721C2B">
        <w:t xml:space="preserve"> </w:t>
      </w:r>
      <w:r>
        <w:t>(</w:t>
      </w:r>
      <w:r w:rsidRPr="00721C2B">
        <w:t>60</w:t>
      </w:r>
      <w:r>
        <w:t>)</w:t>
      </w:r>
      <w:r w:rsidRPr="00721C2B">
        <w:t xml:space="preserve"> days of the </w:t>
      </w:r>
      <w:r>
        <w:t>Sponsor</w:t>
      </w:r>
      <w:r w:rsidRPr="00721C2B">
        <w:t xml:space="preserve"> providing final invoicing data if that data is requested within </w:t>
      </w:r>
      <w:r>
        <w:t>forty-five (</w:t>
      </w:r>
      <w:r w:rsidRPr="00721C2B">
        <w:t>45</w:t>
      </w:r>
      <w:r>
        <w:t>)</w:t>
      </w:r>
      <w:r w:rsidRPr="00721C2B">
        <w:t xml:space="preserve"> days of the site close out</w:t>
      </w:r>
      <w:r>
        <w:t>)</w:t>
      </w:r>
      <w:r w:rsidRPr="00721C2B">
        <w:t>.</w:t>
      </w:r>
    </w:p>
    <w:p w14:paraId="528E5DCE" w14:textId="77777777" w:rsidR="009945EF" w:rsidRDefault="00197759" w:rsidP="00C0283A">
      <w:pPr>
        <w:pStyle w:val="Normalnos"/>
        <w:numPr>
          <w:ilvl w:val="0"/>
          <w:numId w:val="0"/>
        </w:numPr>
        <w:ind w:left="567"/>
      </w:pPr>
      <w:r>
        <w:t xml:space="preserve">Appendix 4: Clause 6: </w:t>
      </w:r>
      <w:r w:rsidR="00DC6506" w:rsidRPr="00DC6506">
        <w:t>Expenses</w:t>
      </w:r>
    </w:p>
    <w:p w14:paraId="7E2613E6" w14:textId="1006F957" w:rsidR="00197759" w:rsidRPr="00C0283A" w:rsidRDefault="001E749C" w:rsidP="00C0283A">
      <w:pPr>
        <w:pStyle w:val="Normalnos"/>
        <w:numPr>
          <w:ilvl w:val="0"/>
          <w:numId w:val="0"/>
        </w:numPr>
        <w:ind w:left="567"/>
        <w:rPr>
          <w:b w:val="0"/>
          <w:bCs/>
        </w:rPr>
      </w:pPr>
      <w:r w:rsidRPr="00C0283A">
        <w:rPr>
          <w:b w:val="0"/>
          <w:bCs/>
        </w:rPr>
        <w:t xml:space="preserve">The definition of Expenses includes </w:t>
      </w:r>
      <w:r w:rsidR="0065592A" w:rsidRPr="005405CC">
        <w:rPr>
          <w:b w:val="0"/>
          <w:bCs/>
        </w:rPr>
        <w:t>reimbursement of costs incurred by Participants, others who may reasonably accompany them, and the Trial Site’s Agents such as its staff</w:t>
      </w:r>
      <w:r w:rsidR="0052054D">
        <w:rPr>
          <w:b w:val="0"/>
          <w:bCs/>
        </w:rPr>
        <w:t>,</w:t>
      </w:r>
      <w:r w:rsidR="000261B9" w:rsidRPr="005405CC">
        <w:rPr>
          <w:b w:val="0"/>
          <w:bCs/>
        </w:rPr>
        <w:t xml:space="preserve"> </w:t>
      </w:r>
      <w:proofErr w:type="gramStart"/>
      <w:r w:rsidR="000261B9" w:rsidRPr="005405CC">
        <w:rPr>
          <w:b w:val="0"/>
          <w:bCs/>
        </w:rPr>
        <w:t>as a result of</w:t>
      </w:r>
      <w:proofErr w:type="gramEnd"/>
      <w:r w:rsidR="000261B9" w:rsidRPr="005405CC">
        <w:rPr>
          <w:b w:val="0"/>
          <w:bCs/>
        </w:rPr>
        <w:t xml:space="preserve"> participation in </w:t>
      </w:r>
      <w:r w:rsidR="0052054D">
        <w:rPr>
          <w:b w:val="0"/>
          <w:bCs/>
        </w:rPr>
        <w:t xml:space="preserve">or involvement with </w:t>
      </w:r>
      <w:r w:rsidR="000261B9" w:rsidRPr="005405CC">
        <w:rPr>
          <w:b w:val="0"/>
          <w:bCs/>
        </w:rPr>
        <w:t>the Clinical Trial</w:t>
      </w:r>
      <w:r w:rsidR="0065592A" w:rsidRPr="005405CC">
        <w:rPr>
          <w:b w:val="0"/>
          <w:bCs/>
        </w:rPr>
        <w:t>.</w:t>
      </w:r>
      <w:r w:rsidR="000261B9" w:rsidRPr="005405CC">
        <w:rPr>
          <w:b w:val="0"/>
          <w:bCs/>
        </w:rPr>
        <w:t xml:space="preserve"> It also includes </w:t>
      </w:r>
      <w:r w:rsidR="00DB7645" w:rsidRPr="005405CC">
        <w:rPr>
          <w:b w:val="0"/>
          <w:bCs/>
        </w:rPr>
        <w:t>“</w:t>
      </w:r>
      <w:proofErr w:type="gramStart"/>
      <w:r w:rsidR="00DC1C8F" w:rsidRPr="005405CC">
        <w:rPr>
          <w:b w:val="0"/>
          <w:bCs/>
        </w:rPr>
        <w:t>ethically-approved</w:t>
      </w:r>
      <w:proofErr w:type="gramEnd"/>
      <w:r w:rsidR="00DC1C8F" w:rsidRPr="005405CC">
        <w:rPr>
          <w:b w:val="0"/>
          <w:bCs/>
        </w:rPr>
        <w:t xml:space="preserve"> pass-through Participant costs</w:t>
      </w:r>
      <w:r w:rsidR="00DB7645" w:rsidRPr="005405CC">
        <w:rPr>
          <w:b w:val="0"/>
          <w:bCs/>
        </w:rPr>
        <w:t>”</w:t>
      </w:r>
      <w:r w:rsidR="00DC1C8F" w:rsidRPr="005405CC">
        <w:rPr>
          <w:b w:val="0"/>
          <w:bCs/>
        </w:rPr>
        <w:t xml:space="preserve">, such as </w:t>
      </w:r>
      <w:r w:rsidR="00DB7645" w:rsidRPr="005405CC">
        <w:rPr>
          <w:b w:val="0"/>
          <w:bCs/>
        </w:rPr>
        <w:t>vouchers</w:t>
      </w:r>
      <w:r w:rsidR="008B31AC" w:rsidRPr="005405CC">
        <w:rPr>
          <w:b w:val="0"/>
          <w:bCs/>
        </w:rPr>
        <w:t>,</w:t>
      </w:r>
      <w:r w:rsidR="00DB7645" w:rsidRPr="005405CC">
        <w:rPr>
          <w:b w:val="0"/>
          <w:bCs/>
        </w:rPr>
        <w:t xml:space="preserve"> </w:t>
      </w:r>
      <w:r w:rsidR="00031FF0" w:rsidRPr="005405CC">
        <w:rPr>
          <w:b w:val="0"/>
          <w:bCs/>
        </w:rPr>
        <w:t>compensation</w:t>
      </w:r>
      <w:r w:rsidR="005C7D0F" w:rsidRPr="005405CC">
        <w:rPr>
          <w:b w:val="0"/>
          <w:bCs/>
        </w:rPr>
        <w:t xml:space="preserve"> </w:t>
      </w:r>
      <w:r w:rsidR="008B31AC" w:rsidRPr="005405CC">
        <w:rPr>
          <w:b w:val="0"/>
          <w:bCs/>
        </w:rPr>
        <w:t xml:space="preserve">for inconvenience </w:t>
      </w:r>
      <w:r w:rsidR="00DB2AC7">
        <w:rPr>
          <w:b w:val="0"/>
          <w:bCs/>
        </w:rPr>
        <w:t xml:space="preserve">and time </w:t>
      </w:r>
      <w:r w:rsidR="00031FF0" w:rsidRPr="005405CC">
        <w:rPr>
          <w:b w:val="0"/>
          <w:bCs/>
        </w:rPr>
        <w:t>and</w:t>
      </w:r>
      <w:r w:rsidR="00DB7645" w:rsidRPr="005405CC">
        <w:rPr>
          <w:b w:val="0"/>
          <w:bCs/>
        </w:rPr>
        <w:t xml:space="preserve"> </w:t>
      </w:r>
      <w:r w:rsidR="006F6D01" w:rsidRPr="005405CC">
        <w:rPr>
          <w:b w:val="0"/>
          <w:bCs/>
        </w:rPr>
        <w:t>payments for loss of earnings</w:t>
      </w:r>
      <w:r w:rsidR="00031FF0" w:rsidRPr="005405CC">
        <w:rPr>
          <w:b w:val="0"/>
          <w:bCs/>
        </w:rPr>
        <w:t>.</w:t>
      </w:r>
      <w:r w:rsidR="00E450A7" w:rsidRPr="005405CC">
        <w:rPr>
          <w:b w:val="0"/>
          <w:bCs/>
        </w:rPr>
        <w:t xml:space="preserve"> This Clause details how payments for </w:t>
      </w:r>
      <w:proofErr w:type="gramStart"/>
      <w:r w:rsidR="00E450A7" w:rsidRPr="005405CC">
        <w:rPr>
          <w:b w:val="0"/>
          <w:bCs/>
        </w:rPr>
        <w:t>all of</w:t>
      </w:r>
      <w:proofErr w:type="gramEnd"/>
      <w:r w:rsidR="00E450A7" w:rsidRPr="005405CC">
        <w:rPr>
          <w:b w:val="0"/>
          <w:bCs/>
        </w:rPr>
        <w:t xml:space="preserve"> these Expenses are managed.</w:t>
      </w:r>
    </w:p>
    <w:p w14:paraId="7C0FADEC" w14:textId="31E427B5" w:rsidR="004431BB" w:rsidRDefault="004431BB" w:rsidP="00EF50C6">
      <w:pPr>
        <w:pStyle w:val="Normalnos"/>
      </w:pPr>
      <w:r>
        <w:t>Appendix 4: Clause 8.1.1</w:t>
      </w:r>
      <w:r w:rsidR="004D53FD">
        <w:t xml:space="preserve"> (screen failures)</w:t>
      </w:r>
    </w:p>
    <w:p w14:paraId="4B3A93F9" w14:textId="33AB9DA8" w:rsidR="004431BB" w:rsidRDefault="00FF10EB" w:rsidP="004431BB">
      <w:pPr>
        <w:pStyle w:val="Normalnos"/>
        <w:numPr>
          <w:ilvl w:val="0"/>
          <w:numId w:val="0"/>
        </w:numPr>
        <w:ind w:left="567"/>
        <w:rPr>
          <w:b w:val="0"/>
          <w:bCs/>
        </w:rPr>
      </w:pPr>
      <w:r>
        <w:rPr>
          <w:b w:val="0"/>
          <w:bCs/>
        </w:rPr>
        <w:t xml:space="preserve">This Clause details the management of screen failures. An initial </w:t>
      </w:r>
      <w:r w:rsidR="00043722">
        <w:rPr>
          <w:b w:val="0"/>
          <w:bCs/>
        </w:rPr>
        <w:t>cap for payment to the Trial Site</w:t>
      </w:r>
      <w:r w:rsidR="008B31AC">
        <w:rPr>
          <w:b w:val="0"/>
          <w:bCs/>
        </w:rPr>
        <w:t>,</w:t>
      </w:r>
      <w:r w:rsidR="00043722">
        <w:rPr>
          <w:b w:val="0"/>
          <w:bCs/>
        </w:rPr>
        <w:t xml:space="preserve"> based on a set number of screen failures</w:t>
      </w:r>
      <w:r w:rsidR="00933CF0">
        <w:rPr>
          <w:b w:val="0"/>
          <w:bCs/>
        </w:rPr>
        <w:t xml:space="preserve"> specified by the Sponsor</w:t>
      </w:r>
      <w:r w:rsidR="008B31AC">
        <w:rPr>
          <w:b w:val="0"/>
          <w:bCs/>
        </w:rPr>
        <w:t>,</w:t>
      </w:r>
      <w:r w:rsidR="00043722">
        <w:rPr>
          <w:b w:val="0"/>
          <w:bCs/>
        </w:rPr>
        <w:t xml:space="preserve"> is included in the first sentence.</w:t>
      </w:r>
      <w:r w:rsidR="00933CF0">
        <w:rPr>
          <w:b w:val="0"/>
          <w:bCs/>
        </w:rPr>
        <w:t xml:space="preserve"> Payment is to be made individually for each screen failure.</w:t>
      </w:r>
    </w:p>
    <w:p w14:paraId="15D46088" w14:textId="204745DF" w:rsidR="00933CF0" w:rsidRDefault="00C86844" w:rsidP="004431BB">
      <w:pPr>
        <w:pStyle w:val="Normalnos"/>
        <w:numPr>
          <w:ilvl w:val="0"/>
          <w:numId w:val="0"/>
        </w:numPr>
        <w:ind w:left="567"/>
        <w:rPr>
          <w:b w:val="0"/>
          <w:bCs/>
        </w:rPr>
      </w:pPr>
      <w:r>
        <w:rPr>
          <w:b w:val="0"/>
          <w:bCs/>
        </w:rPr>
        <w:t>T</w:t>
      </w:r>
      <w:r w:rsidR="0077220D">
        <w:rPr>
          <w:b w:val="0"/>
          <w:bCs/>
        </w:rPr>
        <w:t>he Sponsor</w:t>
      </w:r>
      <w:r w:rsidR="00D9434D">
        <w:rPr>
          <w:b w:val="0"/>
          <w:bCs/>
        </w:rPr>
        <w:t xml:space="preserve"> or </w:t>
      </w:r>
      <w:r>
        <w:rPr>
          <w:b w:val="0"/>
          <w:bCs/>
        </w:rPr>
        <w:t>CRO</w:t>
      </w:r>
      <w:r w:rsidR="0077220D">
        <w:rPr>
          <w:b w:val="0"/>
          <w:bCs/>
        </w:rPr>
        <w:t xml:space="preserve"> should indicate </w:t>
      </w:r>
      <w:r w:rsidR="00D548F9">
        <w:rPr>
          <w:b w:val="0"/>
          <w:bCs/>
        </w:rPr>
        <w:t xml:space="preserve">the number of screen failures it will pay for </w:t>
      </w:r>
      <w:r>
        <w:rPr>
          <w:b w:val="0"/>
          <w:bCs/>
        </w:rPr>
        <w:t>per</w:t>
      </w:r>
      <w:r w:rsidR="00D548F9">
        <w:rPr>
          <w:b w:val="0"/>
          <w:bCs/>
        </w:rPr>
        <w:t xml:space="preserve"> number of Participants enrolled, </w:t>
      </w:r>
      <w:proofErr w:type="gramStart"/>
      <w:r w:rsidR="00D548F9">
        <w:rPr>
          <w:b w:val="0"/>
          <w:bCs/>
        </w:rPr>
        <w:t>dosed</w:t>
      </w:r>
      <w:proofErr w:type="gramEnd"/>
      <w:r w:rsidR="00D548F9">
        <w:rPr>
          <w:b w:val="0"/>
          <w:bCs/>
        </w:rPr>
        <w:t xml:space="preserve"> or randomised</w:t>
      </w:r>
      <w:r>
        <w:rPr>
          <w:b w:val="0"/>
          <w:bCs/>
        </w:rPr>
        <w:t>, if and when the cap</w:t>
      </w:r>
      <w:r w:rsidR="00C07C8A">
        <w:rPr>
          <w:b w:val="0"/>
          <w:bCs/>
        </w:rPr>
        <w:t xml:space="preserve"> is </w:t>
      </w:r>
      <w:r>
        <w:rPr>
          <w:b w:val="0"/>
          <w:bCs/>
        </w:rPr>
        <w:lastRenderedPageBreak/>
        <w:t>reached</w:t>
      </w:r>
      <w:r w:rsidR="00D548F9">
        <w:rPr>
          <w:b w:val="0"/>
          <w:bCs/>
        </w:rPr>
        <w:t>.</w:t>
      </w:r>
      <w:r w:rsidR="007F2C25">
        <w:rPr>
          <w:b w:val="0"/>
          <w:bCs/>
        </w:rPr>
        <w:t xml:space="preserve"> Payment is to be made individually for each screen failure</w:t>
      </w:r>
      <w:r w:rsidR="00EC614A">
        <w:rPr>
          <w:b w:val="0"/>
          <w:bCs/>
        </w:rPr>
        <w:t xml:space="preserve"> once the </w:t>
      </w:r>
      <w:r w:rsidR="00660BC7">
        <w:rPr>
          <w:b w:val="0"/>
          <w:bCs/>
        </w:rPr>
        <w:t xml:space="preserve">set </w:t>
      </w:r>
      <w:r w:rsidR="00EC614A">
        <w:rPr>
          <w:b w:val="0"/>
          <w:bCs/>
        </w:rPr>
        <w:t>number of Participants</w:t>
      </w:r>
      <w:r w:rsidR="00660BC7">
        <w:rPr>
          <w:b w:val="0"/>
          <w:bCs/>
        </w:rPr>
        <w:t xml:space="preserve"> enrolled, </w:t>
      </w:r>
      <w:proofErr w:type="gramStart"/>
      <w:r w:rsidR="00660BC7">
        <w:rPr>
          <w:b w:val="0"/>
          <w:bCs/>
        </w:rPr>
        <w:t>dosed</w:t>
      </w:r>
      <w:proofErr w:type="gramEnd"/>
      <w:r w:rsidR="00660BC7">
        <w:rPr>
          <w:b w:val="0"/>
          <w:bCs/>
        </w:rPr>
        <w:t xml:space="preserve"> or randomised is met</w:t>
      </w:r>
      <w:r w:rsidR="007F2C25">
        <w:rPr>
          <w:b w:val="0"/>
          <w:bCs/>
        </w:rPr>
        <w:t>.</w:t>
      </w:r>
    </w:p>
    <w:p w14:paraId="2DBEC08E" w14:textId="1623292A" w:rsidR="0050473A" w:rsidRDefault="0050473A" w:rsidP="00EF50C6">
      <w:pPr>
        <w:pStyle w:val="Normalnos"/>
      </w:pPr>
      <w:r>
        <w:t xml:space="preserve">Appendix 4: </w:t>
      </w:r>
      <w:r w:rsidR="001E2230">
        <w:t>Clause 1</w:t>
      </w:r>
      <w:r w:rsidR="005C6331">
        <w:t>2</w:t>
      </w:r>
      <w:r w:rsidR="001E2230">
        <w:t>.3</w:t>
      </w:r>
      <w:r w:rsidR="004D53FD">
        <w:t xml:space="preserve"> (bank details)</w:t>
      </w:r>
    </w:p>
    <w:p w14:paraId="32BBC75D" w14:textId="22B8591E" w:rsidR="00716791" w:rsidRPr="00C0283A" w:rsidRDefault="00716791" w:rsidP="00C0283A">
      <w:pPr>
        <w:pStyle w:val="Normalnos"/>
        <w:numPr>
          <w:ilvl w:val="0"/>
          <w:numId w:val="0"/>
        </w:numPr>
        <w:ind w:left="567"/>
        <w:rPr>
          <w:b w:val="0"/>
          <w:bCs/>
        </w:rPr>
      </w:pPr>
      <w:r>
        <w:rPr>
          <w:b w:val="0"/>
          <w:bCs/>
        </w:rPr>
        <w:t>This clause provides ban</w:t>
      </w:r>
      <w:r w:rsidR="00427622">
        <w:rPr>
          <w:b w:val="0"/>
          <w:bCs/>
        </w:rPr>
        <w:t>k details for payment to be made to the Trial Site. The Trial Site is responsible for ensuring that any payments received are disbursed appropriately internally</w:t>
      </w:r>
      <w:r w:rsidR="00603B12">
        <w:rPr>
          <w:b w:val="0"/>
          <w:bCs/>
        </w:rPr>
        <w:t xml:space="preserve">, including to different hospitals within the same organisation, different departments, and </w:t>
      </w:r>
      <w:r w:rsidR="005C5EB1">
        <w:rPr>
          <w:b w:val="0"/>
          <w:bCs/>
        </w:rPr>
        <w:t xml:space="preserve">to any Other Trial Sites within the </w:t>
      </w:r>
      <w:r w:rsidR="00EA6250">
        <w:rPr>
          <w:b w:val="0"/>
          <w:bCs/>
        </w:rPr>
        <w:t>Investigator</w:t>
      </w:r>
      <w:r w:rsidR="005C5EB1">
        <w:rPr>
          <w:b w:val="0"/>
          <w:bCs/>
        </w:rPr>
        <w:t xml:space="preserve"> Site</w:t>
      </w:r>
      <w:r w:rsidR="00EA6250">
        <w:rPr>
          <w:b w:val="0"/>
          <w:bCs/>
        </w:rPr>
        <w:t xml:space="preserve"> and</w:t>
      </w:r>
      <w:r w:rsidR="00B410AD">
        <w:rPr>
          <w:b w:val="0"/>
          <w:bCs/>
        </w:rPr>
        <w:t xml:space="preserve"> </w:t>
      </w:r>
      <w:r w:rsidR="00EA6250">
        <w:rPr>
          <w:b w:val="0"/>
          <w:bCs/>
        </w:rPr>
        <w:t>/</w:t>
      </w:r>
      <w:r w:rsidR="00B410AD">
        <w:rPr>
          <w:b w:val="0"/>
          <w:bCs/>
        </w:rPr>
        <w:t xml:space="preserve"> </w:t>
      </w:r>
      <w:r w:rsidR="00EA6250">
        <w:rPr>
          <w:b w:val="0"/>
          <w:bCs/>
        </w:rPr>
        <w:t>or any PICs</w:t>
      </w:r>
      <w:r w:rsidR="00427622">
        <w:rPr>
          <w:b w:val="0"/>
          <w:bCs/>
        </w:rPr>
        <w:t>.</w:t>
      </w:r>
    </w:p>
    <w:p w14:paraId="77375057" w14:textId="21C41534" w:rsidR="00613F81" w:rsidRDefault="00613F81" w:rsidP="00EF50C6">
      <w:pPr>
        <w:pStyle w:val="Normalnos"/>
      </w:pPr>
      <w:r>
        <w:t>Appendix 4: Clause 1</w:t>
      </w:r>
      <w:r w:rsidR="005C6331">
        <w:t>3</w:t>
      </w:r>
      <w:r>
        <w:t>: Finance Schedule</w:t>
      </w:r>
    </w:p>
    <w:p w14:paraId="36D76C88" w14:textId="428BB03F" w:rsidR="00971F01" w:rsidRDefault="00971F01" w:rsidP="00613F81">
      <w:pPr>
        <w:pStyle w:val="Normalnos"/>
        <w:numPr>
          <w:ilvl w:val="0"/>
          <w:numId w:val="0"/>
        </w:numPr>
        <w:ind w:left="567"/>
        <w:rPr>
          <w:b w:val="0"/>
          <w:bCs/>
        </w:rPr>
      </w:pPr>
      <w:r w:rsidRPr="00C0283A">
        <w:rPr>
          <w:b w:val="0"/>
          <w:bCs/>
        </w:rPr>
        <w:t>The Finance Schedule is generated by the interactive Costing Tool (iCT), following completion of the iCT study resource review, release of iCT to the Sponsor and creation by the Sponsor of organisation</w:t>
      </w:r>
      <w:r>
        <w:rPr>
          <w:b w:val="0"/>
          <w:bCs/>
        </w:rPr>
        <w:t>-</w:t>
      </w:r>
      <w:r w:rsidRPr="00C0283A">
        <w:rPr>
          <w:b w:val="0"/>
          <w:bCs/>
        </w:rPr>
        <w:t xml:space="preserve">level </w:t>
      </w:r>
      <w:proofErr w:type="spellStart"/>
      <w:r w:rsidRPr="00C0283A">
        <w:rPr>
          <w:b w:val="0"/>
          <w:bCs/>
        </w:rPr>
        <w:t>iCTs</w:t>
      </w:r>
      <w:proofErr w:type="spellEnd"/>
      <w:r>
        <w:rPr>
          <w:b w:val="0"/>
          <w:bCs/>
        </w:rPr>
        <w:t>.</w:t>
      </w:r>
      <w:r w:rsidR="00557B03" w:rsidRPr="00C0283A">
        <w:rPr>
          <w:b w:val="0"/>
          <w:bCs/>
        </w:rPr>
        <w:t xml:space="preserve"> The </w:t>
      </w:r>
      <w:r w:rsidR="00A111B5" w:rsidRPr="00C0283A">
        <w:rPr>
          <w:b w:val="0"/>
          <w:bCs/>
        </w:rPr>
        <w:t>relevant</w:t>
      </w:r>
      <w:r w:rsidR="00A111B5">
        <w:t xml:space="preserve"> </w:t>
      </w:r>
      <w:r w:rsidR="00557B03" w:rsidRPr="00557B03">
        <w:rPr>
          <w:b w:val="0"/>
          <w:bCs/>
        </w:rPr>
        <w:t>Finance Schedule is to be inserted into the Finance Appendix</w:t>
      </w:r>
      <w:r w:rsidR="00657758">
        <w:rPr>
          <w:b w:val="0"/>
          <w:bCs/>
        </w:rPr>
        <w:t xml:space="preserve"> when sharing the Agreement with the Trial Site; it does not need to be included in the </w:t>
      </w:r>
      <w:r w:rsidR="005F31E9">
        <w:rPr>
          <w:b w:val="0"/>
          <w:bCs/>
        </w:rPr>
        <w:t>version of the Agreement submitted for regulatory review</w:t>
      </w:r>
      <w:r w:rsidR="00557B03">
        <w:rPr>
          <w:b w:val="0"/>
          <w:bCs/>
        </w:rPr>
        <w:t>.</w:t>
      </w:r>
    </w:p>
    <w:p w14:paraId="285D1D8B" w14:textId="3F50C692" w:rsidR="00141C9A" w:rsidRDefault="006B353F" w:rsidP="00613F81">
      <w:pPr>
        <w:pStyle w:val="Normalnos"/>
        <w:numPr>
          <w:ilvl w:val="0"/>
          <w:numId w:val="0"/>
        </w:numPr>
        <w:ind w:left="567"/>
        <w:rPr>
          <w:b w:val="0"/>
          <w:bCs/>
        </w:rPr>
      </w:pPr>
      <w:r w:rsidRPr="006B353F">
        <w:rPr>
          <w:b w:val="0"/>
          <w:bCs/>
        </w:rPr>
        <w:t xml:space="preserve">For studies that fall within scope of the </w:t>
      </w:r>
      <w:hyperlink r:id="rId21" w:history="1">
        <w:r w:rsidRPr="00500FE9">
          <w:rPr>
            <w:rStyle w:val="Hyperlink"/>
            <w:b w:val="0"/>
            <w:bCs/>
          </w:rPr>
          <w:t>National Contract Value Review (NCVR)</w:t>
        </w:r>
      </w:hyperlink>
      <w:r w:rsidRPr="006B353F">
        <w:rPr>
          <w:b w:val="0"/>
          <w:bCs/>
        </w:rPr>
        <w:t xml:space="preserve"> programme, modification of the iCT</w:t>
      </w:r>
      <w:r>
        <w:rPr>
          <w:b w:val="0"/>
          <w:bCs/>
        </w:rPr>
        <w:t>-</w:t>
      </w:r>
      <w:r w:rsidRPr="006B353F">
        <w:rPr>
          <w:b w:val="0"/>
          <w:bCs/>
        </w:rPr>
        <w:t xml:space="preserve">generated Finance Schedule is prohibited. </w:t>
      </w:r>
      <w:r w:rsidR="003D1E47">
        <w:rPr>
          <w:b w:val="0"/>
          <w:bCs/>
        </w:rPr>
        <w:t>The Sponsor or CRO c</w:t>
      </w:r>
      <w:r w:rsidR="00826CED" w:rsidRPr="00F65FDB">
        <w:rPr>
          <w:b w:val="0"/>
          <w:bCs/>
        </w:rPr>
        <w:t>hanging the order of items within tables of the Finance Schedule for ease of reading is not a modification to the template</w:t>
      </w:r>
      <w:r w:rsidR="0071000D">
        <w:rPr>
          <w:b w:val="0"/>
          <w:bCs/>
        </w:rPr>
        <w:t xml:space="preserve">. The Sponsor or CRO removing items from the Finance Schedule that are not relevant to that Trial Site </w:t>
      </w:r>
      <w:r w:rsidR="003D1E47">
        <w:rPr>
          <w:b w:val="0"/>
          <w:bCs/>
        </w:rPr>
        <w:t xml:space="preserve">(for example, removing </w:t>
      </w:r>
      <w:r w:rsidR="0021338F">
        <w:rPr>
          <w:b w:val="0"/>
          <w:bCs/>
        </w:rPr>
        <w:t xml:space="preserve">items relevant only to an arm of the Clinical Trial not being conducted at that Trial Site) </w:t>
      </w:r>
      <w:r w:rsidR="0071000D">
        <w:rPr>
          <w:b w:val="0"/>
          <w:bCs/>
        </w:rPr>
        <w:t xml:space="preserve">is also </w:t>
      </w:r>
      <w:r w:rsidR="0031225A">
        <w:rPr>
          <w:b w:val="0"/>
          <w:bCs/>
        </w:rPr>
        <w:t>not a modification and is permitted</w:t>
      </w:r>
      <w:r w:rsidR="00826CED" w:rsidRPr="00F65FDB">
        <w:rPr>
          <w:b w:val="0"/>
          <w:bCs/>
        </w:rPr>
        <w:t>.</w:t>
      </w:r>
      <w:r w:rsidR="000F6B51">
        <w:rPr>
          <w:b w:val="0"/>
          <w:bCs/>
        </w:rPr>
        <w:t xml:space="preserve">  In many cases</w:t>
      </w:r>
      <w:r w:rsidR="003D1E47">
        <w:rPr>
          <w:b w:val="0"/>
          <w:bCs/>
        </w:rPr>
        <w:t xml:space="preserve">, prior discussion with the Trial Site will </w:t>
      </w:r>
      <w:r w:rsidR="00B410AD">
        <w:rPr>
          <w:b w:val="0"/>
          <w:bCs/>
        </w:rPr>
        <w:t>b</w:t>
      </w:r>
      <w:r w:rsidR="003D1E47">
        <w:rPr>
          <w:b w:val="0"/>
          <w:bCs/>
        </w:rPr>
        <w:t xml:space="preserve">e necessary to agree any items to be removed. Items may not be added by any Party outside of the NCVR national negotiation. </w:t>
      </w:r>
    </w:p>
    <w:p w14:paraId="3362527F" w14:textId="2E4430F8" w:rsidR="00613F81" w:rsidRDefault="006B353F" w:rsidP="00613F81">
      <w:pPr>
        <w:pStyle w:val="Normalnos"/>
        <w:numPr>
          <w:ilvl w:val="0"/>
          <w:numId w:val="0"/>
        </w:numPr>
        <w:ind w:left="567"/>
        <w:rPr>
          <w:b w:val="0"/>
          <w:bCs/>
        </w:rPr>
      </w:pPr>
      <w:r w:rsidRPr="006B353F">
        <w:rPr>
          <w:b w:val="0"/>
          <w:bCs/>
        </w:rPr>
        <w:t>Unmodified use</w:t>
      </w:r>
      <w:r w:rsidR="00141C9A">
        <w:rPr>
          <w:b w:val="0"/>
          <w:bCs/>
        </w:rPr>
        <w:t xml:space="preserve"> of the Finance Schedule</w:t>
      </w:r>
      <w:r w:rsidRPr="006B353F">
        <w:rPr>
          <w:b w:val="0"/>
          <w:bCs/>
        </w:rPr>
        <w:t xml:space="preserve"> is recommended </w:t>
      </w:r>
      <w:r w:rsidR="009A3B09">
        <w:rPr>
          <w:b w:val="0"/>
          <w:bCs/>
        </w:rPr>
        <w:t>for studies which fall out of scope of the NCVR programme</w:t>
      </w:r>
      <w:r w:rsidRPr="006B353F">
        <w:rPr>
          <w:b w:val="0"/>
          <w:bCs/>
        </w:rPr>
        <w:t>.</w:t>
      </w:r>
      <w:r w:rsidR="00141C9A">
        <w:rPr>
          <w:b w:val="0"/>
          <w:bCs/>
        </w:rPr>
        <w:t xml:space="preserve"> </w:t>
      </w:r>
      <w:r w:rsidR="00106F13">
        <w:rPr>
          <w:b w:val="0"/>
          <w:bCs/>
        </w:rPr>
        <w:t>In this case, t</w:t>
      </w:r>
      <w:r w:rsidR="00141C9A" w:rsidRPr="00141C9A">
        <w:rPr>
          <w:b w:val="0"/>
          <w:bCs/>
        </w:rPr>
        <w:t>he iCT (and therefore</w:t>
      </w:r>
      <w:r w:rsidR="00106F13">
        <w:rPr>
          <w:b w:val="0"/>
          <w:bCs/>
        </w:rPr>
        <w:t xml:space="preserve"> the</w:t>
      </w:r>
      <w:r w:rsidR="00141C9A" w:rsidRPr="00141C9A">
        <w:rPr>
          <w:b w:val="0"/>
          <w:bCs/>
        </w:rPr>
        <w:t xml:space="preserve"> Finance Schedule) is a guideline upon which to base discussions between the </w:t>
      </w:r>
      <w:r w:rsidR="00106F13">
        <w:rPr>
          <w:b w:val="0"/>
          <w:bCs/>
        </w:rPr>
        <w:t>S</w:t>
      </w:r>
      <w:r w:rsidR="00141C9A" w:rsidRPr="00141C9A">
        <w:rPr>
          <w:b w:val="0"/>
          <w:bCs/>
        </w:rPr>
        <w:t>ponsor</w:t>
      </w:r>
      <w:r w:rsidR="00106F13">
        <w:rPr>
          <w:b w:val="0"/>
          <w:bCs/>
        </w:rPr>
        <w:t xml:space="preserve"> or CRO</w:t>
      </w:r>
      <w:r w:rsidR="00141C9A" w:rsidRPr="00141C9A">
        <w:rPr>
          <w:b w:val="0"/>
          <w:bCs/>
        </w:rPr>
        <w:t xml:space="preserve"> and</w:t>
      </w:r>
      <w:r w:rsidR="00106F13">
        <w:rPr>
          <w:b w:val="0"/>
          <w:bCs/>
        </w:rPr>
        <w:t xml:space="preserve"> Trial Site</w:t>
      </w:r>
      <w:r w:rsidR="00141C9A" w:rsidRPr="00141C9A">
        <w:rPr>
          <w:b w:val="0"/>
          <w:bCs/>
        </w:rPr>
        <w:t>.</w:t>
      </w:r>
      <w:r w:rsidR="005B2B41">
        <w:rPr>
          <w:b w:val="0"/>
          <w:bCs/>
        </w:rPr>
        <w:t xml:space="preserve"> The Financial Appendix itself is however a part of the </w:t>
      </w:r>
      <w:r w:rsidR="00B9153F">
        <w:rPr>
          <w:b w:val="0"/>
          <w:bCs/>
        </w:rPr>
        <w:t>Agreement template and should be used without modification for all studies, within or outside of the scope of NCVR.</w:t>
      </w:r>
    </w:p>
    <w:p w14:paraId="75C624ED" w14:textId="33D8842F" w:rsidR="00E26710" w:rsidRDefault="00E26710" w:rsidP="00613F81">
      <w:pPr>
        <w:pStyle w:val="Normalnos"/>
        <w:numPr>
          <w:ilvl w:val="0"/>
          <w:numId w:val="0"/>
        </w:numPr>
        <w:ind w:left="567"/>
        <w:rPr>
          <w:b w:val="0"/>
          <w:bCs/>
        </w:rPr>
      </w:pPr>
      <w:r>
        <w:rPr>
          <w:b w:val="0"/>
          <w:bCs/>
        </w:rPr>
        <w:t>Where the Trial Site will sub-contract with Other Trial Sites</w:t>
      </w:r>
      <w:r w:rsidR="008D6B47">
        <w:rPr>
          <w:b w:val="0"/>
          <w:bCs/>
        </w:rPr>
        <w:t xml:space="preserve"> and/or with PICs,</w:t>
      </w:r>
      <w:r w:rsidR="00DE5B6E">
        <w:rPr>
          <w:b w:val="0"/>
          <w:bCs/>
        </w:rPr>
        <w:t xml:space="preserve"> </w:t>
      </w:r>
      <w:r w:rsidR="006131BB">
        <w:rPr>
          <w:b w:val="0"/>
          <w:bCs/>
        </w:rPr>
        <w:t xml:space="preserve">the </w:t>
      </w:r>
      <w:r w:rsidR="008B6295">
        <w:rPr>
          <w:b w:val="0"/>
          <w:bCs/>
        </w:rPr>
        <w:t>Sponsor and/or CRO should work with the Trial Site and</w:t>
      </w:r>
      <w:r w:rsidR="00FE04A4">
        <w:rPr>
          <w:b w:val="0"/>
          <w:bCs/>
        </w:rPr>
        <w:t>, as necessary,</w:t>
      </w:r>
      <w:r w:rsidR="008B6295">
        <w:rPr>
          <w:b w:val="0"/>
          <w:bCs/>
        </w:rPr>
        <w:t xml:space="preserve"> any Other </w:t>
      </w:r>
      <w:r w:rsidR="006131BB">
        <w:rPr>
          <w:b w:val="0"/>
          <w:bCs/>
        </w:rPr>
        <w:t>Trial Site</w:t>
      </w:r>
      <w:r w:rsidR="008B6295">
        <w:rPr>
          <w:b w:val="0"/>
          <w:bCs/>
        </w:rPr>
        <w:t>s</w:t>
      </w:r>
      <w:r w:rsidR="00042759">
        <w:rPr>
          <w:b w:val="0"/>
          <w:bCs/>
        </w:rPr>
        <w:t>/PICs</w:t>
      </w:r>
      <w:r w:rsidR="006131BB">
        <w:rPr>
          <w:b w:val="0"/>
          <w:bCs/>
        </w:rPr>
        <w:t xml:space="preserve"> </w:t>
      </w:r>
      <w:r w:rsidR="008B6295">
        <w:rPr>
          <w:b w:val="0"/>
          <w:bCs/>
        </w:rPr>
        <w:t xml:space="preserve">to ensure that the </w:t>
      </w:r>
      <w:r w:rsidR="00DF4076">
        <w:rPr>
          <w:b w:val="0"/>
          <w:bCs/>
        </w:rPr>
        <w:t xml:space="preserve">organisation-level iCT (and therefore </w:t>
      </w:r>
      <w:r w:rsidR="008B6295">
        <w:rPr>
          <w:b w:val="0"/>
          <w:bCs/>
        </w:rPr>
        <w:t>Finance Schedule</w:t>
      </w:r>
      <w:r w:rsidR="00DF4076">
        <w:rPr>
          <w:b w:val="0"/>
          <w:bCs/>
        </w:rPr>
        <w:t>)</w:t>
      </w:r>
      <w:r w:rsidR="008B6295">
        <w:rPr>
          <w:b w:val="0"/>
          <w:bCs/>
        </w:rPr>
        <w:t xml:space="preserve"> accurately reflects</w:t>
      </w:r>
      <w:r w:rsidR="00C162B3">
        <w:rPr>
          <w:b w:val="0"/>
          <w:bCs/>
        </w:rPr>
        <w:t xml:space="preserve"> </w:t>
      </w:r>
      <w:r w:rsidR="00C114A9">
        <w:rPr>
          <w:b w:val="0"/>
          <w:bCs/>
        </w:rPr>
        <w:t xml:space="preserve">the </w:t>
      </w:r>
      <w:r w:rsidR="00C162B3">
        <w:rPr>
          <w:b w:val="0"/>
          <w:bCs/>
        </w:rPr>
        <w:t xml:space="preserve">activities and </w:t>
      </w:r>
      <w:r w:rsidR="00C114A9">
        <w:rPr>
          <w:b w:val="0"/>
          <w:bCs/>
        </w:rPr>
        <w:t>therefore the NCVR centrally negotiated prices</w:t>
      </w:r>
      <w:r w:rsidR="002F59B1">
        <w:rPr>
          <w:b w:val="0"/>
          <w:bCs/>
        </w:rPr>
        <w:t xml:space="preserve"> for each</w:t>
      </w:r>
      <w:r w:rsidR="005019AE">
        <w:rPr>
          <w:b w:val="0"/>
          <w:bCs/>
        </w:rPr>
        <w:t xml:space="preserve"> relevant</w:t>
      </w:r>
      <w:r w:rsidR="002F59B1">
        <w:rPr>
          <w:b w:val="0"/>
          <w:bCs/>
        </w:rPr>
        <w:t xml:space="preserve"> participating organisation.</w:t>
      </w:r>
    </w:p>
    <w:p w14:paraId="3D9C1CCD" w14:textId="43804DAC" w:rsidR="00DF4076" w:rsidRDefault="00DF4076" w:rsidP="00613F81">
      <w:pPr>
        <w:pStyle w:val="Normalnos"/>
        <w:numPr>
          <w:ilvl w:val="0"/>
          <w:numId w:val="0"/>
        </w:numPr>
        <w:ind w:left="567"/>
        <w:rPr>
          <w:b w:val="0"/>
          <w:bCs/>
        </w:rPr>
      </w:pPr>
      <w:r>
        <w:rPr>
          <w:b w:val="0"/>
          <w:bCs/>
        </w:rPr>
        <w:t xml:space="preserve">The Financial Schedule </w:t>
      </w:r>
      <w:r w:rsidR="00D87BDB">
        <w:rPr>
          <w:b w:val="0"/>
          <w:bCs/>
        </w:rPr>
        <w:t xml:space="preserve">is not designed to </w:t>
      </w:r>
      <w:r w:rsidR="00E70B48">
        <w:rPr>
          <w:b w:val="0"/>
          <w:bCs/>
        </w:rPr>
        <w:t xml:space="preserve">directly </w:t>
      </w:r>
      <w:r w:rsidR="00D87BDB">
        <w:rPr>
          <w:b w:val="0"/>
          <w:bCs/>
        </w:rPr>
        <w:t>support invoicing</w:t>
      </w:r>
      <w:r w:rsidR="00E70B48">
        <w:rPr>
          <w:b w:val="0"/>
          <w:bCs/>
        </w:rPr>
        <w:t xml:space="preserve"> or the internal disbursement of income</w:t>
      </w:r>
      <w:r w:rsidR="00D87BDB">
        <w:rPr>
          <w:b w:val="0"/>
          <w:bCs/>
        </w:rPr>
        <w:t>. The</w:t>
      </w:r>
      <w:r w:rsidR="00CC2047">
        <w:rPr>
          <w:b w:val="0"/>
          <w:bCs/>
        </w:rPr>
        <w:t xml:space="preserve"> </w:t>
      </w:r>
      <w:r w:rsidR="00A54A31">
        <w:rPr>
          <w:b w:val="0"/>
          <w:bCs/>
        </w:rPr>
        <w:t>Sponsor</w:t>
      </w:r>
      <w:r w:rsidR="00F73D57">
        <w:rPr>
          <w:b w:val="0"/>
          <w:bCs/>
        </w:rPr>
        <w:t xml:space="preserve"> </w:t>
      </w:r>
      <w:r w:rsidR="00A54A31">
        <w:rPr>
          <w:b w:val="0"/>
          <w:bCs/>
        </w:rPr>
        <w:t>/</w:t>
      </w:r>
      <w:r w:rsidR="00F73D57">
        <w:rPr>
          <w:b w:val="0"/>
          <w:bCs/>
        </w:rPr>
        <w:t xml:space="preserve"> </w:t>
      </w:r>
      <w:r w:rsidR="00A54A31">
        <w:rPr>
          <w:b w:val="0"/>
          <w:bCs/>
        </w:rPr>
        <w:t>CRO should provide the Trial Site</w:t>
      </w:r>
      <w:r w:rsidR="009E5CD2">
        <w:rPr>
          <w:b w:val="0"/>
          <w:bCs/>
        </w:rPr>
        <w:t xml:space="preserve"> with</w:t>
      </w:r>
      <w:r w:rsidR="00A54A31">
        <w:rPr>
          <w:b w:val="0"/>
          <w:bCs/>
        </w:rPr>
        <w:t xml:space="preserve"> the</w:t>
      </w:r>
      <w:r w:rsidR="00CC2047">
        <w:rPr>
          <w:b w:val="0"/>
          <w:bCs/>
        </w:rPr>
        <w:t xml:space="preserve"> </w:t>
      </w:r>
      <w:r w:rsidR="00A54A31">
        <w:rPr>
          <w:b w:val="0"/>
          <w:bCs/>
        </w:rPr>
        <w:t>i</w:t>
      </w:r>
      <w:r w:rsidR="00D87BDB">
        <w:rPr>
          <w:b w:val="0"/>
          <w:bCs/>
        </w:rPr>
        <w:t xml:space="preserve">CT </w:t>
      </w:r>
      <w:r w:rsidR="00847D73">
        <w:rPr>
          <w:b w:val="0"/>
          <w:bCs/>
        </w:rPr>
        <w:t>Excel</w:t>
      </w:r>
      <w:r w:rsidR="00215DF8">
        <w:rPr>
          <w:b w:val="0"/>
          <w:bCs/>
        </w:rPr>
        <w:t>/csv</w:t>
      </w:r>
      <w:r w:rsidR="00847D73">
        <w:rPr>
          <w:b w:val="0"/>
          <w:bCs/>
        </w:rPr>
        <w:t xml:space="preserve"> </w:t>
      </w:r>
      <w:r w:rsidR="00D87BDB">
        <w:rPr>
          <w:b w:val="0"/>
          <w:bCs/>
        </w:rPr>
        <w:t>export</w:t>
      </w:r>
      <w:r w:rsidR="00C467F4">
        <w:rPr>
          <w:b w:val="0"/>
          <w:bCs/>
        </w:rPr>
        <w:t xml:space="preserve"> for that Trial Site</w:t>
      </w:r>
      <w:r w:rsidR="00A54A31">
        <w:rPr>
          <w:b w:val="0"/>
          <w:bCs/>
        </w:rPr>
        <w:t xml:space="preserve">, no later than </w:t>
      </w:r>
      <w:r w:rsidR="008C5DD6">
        <w:rPr>
          <w:b w:val="0"/>
          <w:bCs/>
        </w:rPr>
        <w:t>Sponsor green-light for the Trial Site,</w:t>
      </w:r>
      <w:r w:rsidR="0082161B">
        <w:rPr>
          <w:b w:val="0"/>
          <w:bCs/>
        </w:rPr>
        <w:t xml:space="preserve"> </w:t>
      </w:r>
      <w:r w:rsidR="00D87BDB">
        <w:rPr>
          <w:b w:val="0"/>
          <w:bCs/>
        </w:rPr>
        <w:t xml:space="preserve">to facilitate </w:t>
      </w:r>
      <w:r w:rsidR="008C5DD6">
        <w:rPr>
          <w:b w:val="0"/>
          <w:bCs/>
        </w:rPr>
        <w:t>Trial Site</w:t>
      </w:r>
      <w:r w:rsidR="00D87BDB">
        <w:rPr>
          <w:b w:val="0"/>
          <w:bCs/>
        </w:rPr>
        <w:t xml:space="preserve"> invoicing</w:t>
      </w:r>
      <w:r w:rsidR="008C5DD6">
        <w:rPr>
          <w:b w:val="0"/>
          <w:bCs/>
        </w:rPr>
        <w:t xml:space="preserve"> and disbursement of funds</w:t>
      </w:r>
      <w:r w:rsidR="00D87BDB">
        <w:rPr>
          <w:b w:val="0"/>
          <w:bCs/>
        </w:rPr>
        <w:t>.</w:t>
      </w:r>
    </w:p>
    <w:p w14:paraId="1A9C2F0C" w14:textId="612C2FEC" w:rsidR="008637D2" w:rsidRPr="00593849" w:rsidRDefault="008637D2" w:rsidP="00EF50C6">
      <w:pPr>
        <w:pStyle w:val="Normalnos"/>
      </w:pPr>
      <w:r>
        <w:t>Appendix 5</w:t>
      </w:r>
      <w:r w:rsidR="00593849">
        <w:t>: Conditions Applicable to the Principal Investigator</w:t>
      </w:r>
    </w:p>
    <w:p w14:paraId="5DAF0FBC" w14:textId="7FA69CB9" w:rsidR="00593849" w:rsidRDefault="00593849" w:rsidP="00593849">
      <w:pPr>
        <w:pStyle w:val="ListParagraph"/>
        <w:numPr>
          <w:ilvl w:val="0"/>
          <w:numId w:val="0"/>
        </w:numPr>
        <w:ind w:left="567"/>
      </w:pPr>
      <w:r w:rsidRPr="007419A3">
        <w:lastRenderedPageBreak/>
        <w:t xml:space="preserve">It should be noted that there is an obligation on </w:t>
      </w:r>
      <w:r w:rsidR="00601325">
        <w:t>Trial Sites</w:t>
      </w:r>
      <w:r w:rsidRPr="007419A3">
        <w:t xml:space="preserve"> that are not members of the relevant risk pooling scheme, to ensure that the Principal Investigator carries medical liability insurance.</w:t>
      </w:r>
    </w:p>
    <w:p w14:paraId="6456C6AC" w14:textId="3F8CDC46" w:rsidR="00593849" w:rsidRPr="00593849" w:rsidRDefault="00961386" w:rsidP="00EF50C6">
      <w:pPr>
        <w:pStyle w:val="Normalnos"/>
      </w:pPr>
      <w:r>
        <w:t xml:space="preserve">Appendix 6: </w:t>
      </w:r>
      <w:r w:rsidR="00593849" w:rsidRPr="00593849">
        <w:t>Material Transfer Provisions</w:t>
      </w:r>
    </w:p>
    <w:p w14:paraId="15929F6B" w14:textId="633A3277" w:rsidR="00593849" w:rsidRPr="008637D2" w:rsidRDefault="00593849" w:rsidP="00EF50C6">
      <w:pPr>
        <w:ind w:left="567"/>
      </w:pPr>
      <w:r>
        <w:t xml:space="preserve">Where no Material is to be </w:t>
      </w:r>
      <w:r w:rsidR="00EA2095">
        <w:t xml:space="preserve">supplied by the Trial Site to the Sponsor or their nominated </w:t>
      </w:r>
      <w:r w:rsidR="000947AF">
        <w:t>representative,</w:t>
      </w:r>
      <w:r w:rsidR="00961386">
        <w:t xml:space="preserve"> Appendix 6 should be deleted.</w:t>
      </w:r>
    </w:p>
    <w:p w14:paraId="628DE3E6" w14:textId="6BC60FF8" w:rsidR="008637D2" w:rsidRPr="008637D2" w:rsidRDefault="008637D2" w:rsidP="00EF50C6">
      <w:pPr>
        <w:pStyle w:val="Normalnos"/>
      </w:pPr>
      <w:r w:rsidRPr="00C81818">
        <w:t>Appendix 7</w:t>
      </w:r>
      <w:r>
        <w:t>:</w:t>
      </w:r>
      <w:r w:rsidRPr="00C81818">
        <w:t xml:space="preserve"> Equipment </w:t>
      </w:r>
      <w:r>
        <w:t>and</w:t>
      </w:r>
      <w:r w:rsidRPr="00C81818">
        <w:t xml:space="preserve"> Resources</w:t>
      </w:r>
    </w:p>
    <w:p w14:paraId="4A8EB832" w14:textId="6C68CD02" w:rsidR="008637D2" w:rsidRPr="007419A3" w:rsidRDefault="008637D2" w:rsidP="008637D2">
      <w:pPr>
        <w:ind w:left="567"/>
      </w:pPr>
      <w:r w:rsidRPr="007419A3">
        <w:t>Where no Equipment</w:t>
      </w:r>
      <w:r w:rsidR="00D91807">
        <w:t xml:space="preserve"> or </w:t>
      </w:r>
      <w:r w:rsidRPr="007419A3">
        <w:t>Resources are being provided Appendix 7 should be omitted from the final clinical trial agreement.</w:t>
      </w:r>
    </w:p>
    <w:p w14:paraId="603D3ED6" w14:textId="40F92859" w:rsidR="008637D2" w:rsidRPr="007419A3" w:rsidRDefault="008637D2" w:rsidP="008637D2">
      <w:pPr>
        <w:ind w:left="567"/>
      </w:pPr>
      <w:r w:rsidRPr="007419A3">
        <w:t xml:space="preserve">Appendix 7 includes tables where equipment and resources that are provided by </w:t>
      </w:r>
      <w:r>
        <w:t>S</w:t>
      </w:r>
      <w:r w:rsidRPr="007419A3">
        <w:t>ponsors (and</w:t>
      </w:r>
      <w:r w:rsidR="009F3FC0">
        <w:t xml:space="preserve"> </w:t>
      </w:r>
      <w:r w:rsidRPr="007419A3">
        <w:t>/</w:t>
      </w:r>
      <w:r w:rsidR="009F3FC0">
        <w:t xml:space="preserve"> </w:t>
      </w:r>
      <w:r w:rsidRPr="007419A3">
        <w:t>or CROs, as applicable) for the clinical trial should be listed. These tables include a column where the depreciated value of the equipment</w:t>
      </w:r>
      <w:r w:rsidR="000B4F2F">
        <w:t xml:space="preserve"> </w:t>
      </w:r>
      <w:r w:rsidRPr="007419A3">
        <w:t>/</w:t>
      </w:r>
      <w:r w:rsidR="000B4F2F">
        <w:t xml:space="preserve"> </w:t>
      </w:r>
      <w:r w:rsidRPr="007419A3">
        <w:t xml:space="preserve">resources can be detailed. It is noted that there is no standard method for determining depreciation and therefore, this must be discussed and agreed between </w:t>
      </w:r>
      <w:r>
        <w:t>S</w:t>
      </w:r>
      <w:r w:rsidRPr="007419A3">
        <w:t xml:space="preserve">ponsor and </w:t>
      </w:r>
      <w:r w:rsidR="001A2F20">
        <w:t>Trial Site</w:t>
      </w:r>
      <w:r w:rsidRPr="007419A3">
        <w:t xml:space="preserve"> (and CRO, as applicable).</w:t>
      </w:r>
    </w:p>
    <w:p w14:paraId="28A08E6E" w14:textId="77777777" w:rsidR="008637D2" w:rsidRPr="007419A3" w:rsidRDefault="008637D2" w:rsidP="008637D2">
      <w:pPr>
        <w:ind w:left="567"/>
      </w:pPr>
      <w:r w:rsidRPr="007419A3">
        <w:t xml:space="preserve">The </w:t>
      </w:r>
      <w:r>
        <w:t>S</w:t>
      </w:r>
      <w:r w:rsidRPr="007419A3">
        <w:t>ponsor (or CRO, as applicable) should indicate whether alternative 1 or 2 should be used with respect to liability in Clause 7.2 of Appendix 7. The selection should be clearly indicated in the agreement.</w:t>
      </w:r>
    </w:p>
    <w:p w14:paraId="3284E103" w14:textId="60D9BDA9" w:rsidR="008637D2" w:rsidRPr="007419A3" w:rsidRDefault="008637D2" w:rsidP="008637D2">
      <w:pPr>
        <w:ind w:left="567"/>
      </w:pPr>
      <w:r w:rsidRPr="007419A3">
        <w:t>Northern Ireland does not have any MIA arrangements and the MIA in England is not applicable to equipment loaned or gifted for the purpose of clinical trials. Alternative</w:t>
      </w:r>
      <w:r>
        <w:t xml:space="preserve"> </w:t>
      </w:r>
      <w:r w:rsidRPr="007419A3">
        <w:t xml:space="preserve">#1 must be used where the </w:t>
      </w:r>
      <w:r w:rsidR="006B699F">
        <w:t>Trial Site</w:t>
      </w:r>
      <w:r w:rsidRPr="007419A3">
        <w:t xml:space="preserve"> is constituted in England or Northern Ireland.</w:t>
      </w:r>
    </w:p>
    <w:p w14:paraId="5112658E" w14:textId="77777777" w:rsidR="008637D2" w:rsidRPr="008637D2" w:rsidRDefault="008637D2" w:rsidP="00EF50C6">
      <w:pPr>
        <w:pStyle w:val="Normalnos"/>
      </w:pPr>
      <w:r w:rsidRPr="0021051B">
        <w:t>Appendix 8 (CRO-</w:t>
      </w:r>
      <w:proofErr w:type="spellStart"/>
      <w:r w:rsidRPr="0021051B">
        <w:t>mCTA</w:t>
      </w:r>
      <w:proofErr w:type="spellEnd"/>
      <w:r w:rsidRPr="0021051B">
        <w:t xml:space="preserve"> only)</w:t>
      </w:r>
      <w:r>
        <w:t>:</w:t>
      </w:r>
      <w:r w:rsidRPr="0021051B">
        <w:t xml:space="preserve"> Sponsor’s Clinical Trial Related Duties and Functions Under ICH</w:t>
      </w:r>
      <w:r>
        <w:t>-</w:t>
      </w:r>
      <w:r w:rsidRPr="0021051B">
        <w:t>GCP to be Performed by CRO</w:t>
      </w:r>
    </w:p>
    <w:p w14:paraId="5B0D8208" w14:textId="03057E21" w:rsidR="008637D2" w:rsidRDefault="008637D2" w:rsidP="008637D2">
      <w:pPr>
        <w:ind w:left="567"/>
      </w:pPr>
      <w:r w:rsidRPr="007419A3">
        <w:t xml:space="preserve">This </w:t>
      </w:r>
      <w:r>
        <w:t>A</w:t>
      </w:r>
      <w:r w:rsidRPr="007419A3">
        <w:t xml:space="preserve">ppendix should clearly set out which </w:t>
      </w:r>
      <w:r>
        <w:t>S</w:t>
      </w:r>
      <w:r w:rsidRPr="007419A3">
        <w:t>ponsor responsibilities for site management will be performed by the CRO.</w:t>
      </w:r>
      <w:r>
        <w:t xml:space="preserve"> </w:t>
      </w:r>
      <w:r w:rsidRPr="00877AFC">
        <w:rPr>
          <w:lang w:val="en-US"/>
        </w:rPr>
        <w:t>If the Sponsor has formally empowered the CRO to sign this Agreement and thereby legally bind the Sponsor to its terms as a Party, this must be explicitly evidenced.</w:t>
      </w:r>
    </w:p>
    <w:p w14:paraId="39DA1C43" w14:textId="243B3585" w:rsidR="008637D2" w:rsidRDefault="008637D2" w:rsidP="00EF50C6">
      <w:pPr>
        <w:pStyle w:val="Normalnos"/>
      </w:pPr>
      <w:r w:rsidRPr="0021051B">
        <w:t xml:space="preserve">Appendix </w:t>
      </w:r>
      <w:r w:rsidR="006D0F5F">
        <w:t xml:space="preserve">8 </w:t>
      </w:r>
      <w:proofErr w:type="spellStart"/>
      <w:r w:rsidR="006D0F5F">
        <w:t>mCTA</w:t>
      </w:r>
      <w:proofErr w:type="spellEnd"/>
      <w:r w:rsidRPr="0021051B">
        <w:t xml:space="preserve"> (Appendix </w:t>
      </w:r>
      <w:r w:rsidR="006D0F5F">
        <w:t>9</w:t>
      </w:r>
      <w:r w:rsidRPr="0021051B">
        <w:t xml:space="preserve"> CRO</w:t>
      </w:r>
      <w:r w:rsidR="006D0F5F">
        <w:t>-</w:t>
      </w:r>
      <w:proofErr w:type="spellStart"/>
      <w:r w:rsidRPr="0021051B">
        <w:t>mCTA</w:t>
      </w:r>
      <w:proofErr w:type="spellEnd"/>
      <w:r w:rsidRPr="0021051B">
        <w:t>)</w:t>
      </w:r>
      <w:r>
        <w:t>:</w:t>
      </w:r>
      <w:r w:rsidRPr="0021051B">
        <w:t xml:space="preserve"> Formal Delegation of Authority from Sponsor to a </w:t>
      </w:r>
      <w:r>
        <w:t>Corporate Affiliate</w:t>
      </w:r>
      <w:r w:rsidRPr="0021051B">
        <w:t xml:space="preserve"> to Contractually Bind the Sponsor as a Party to this </w:t>
      </w:r>
      <w:proofErr w:type="gramStart"/>
      <w:r w:rsidRPr="0021051B">
        <w:t>Agreement</w:t>
      </w:r>
      <w:proofErr w:type="gramEnd"/>
    </w:p>
    <w:p w14:paraId="51846410" w14:textId="1B50FF27" w:rsidR="000A7D92" w:rsidRDefault="00050471" w:rsidP="005D3DEB">
      <w:pPr>
        <w:ind w:left="567"/>
      </w:pPr>
      <w:r>
        <w:t>Where applicable, attach here evidence of formal delegation of authority, from the Sponsor to the corporate Affiliate of the Sponsor</w:t>
      </w:r>
      <w:r w:rsidR="00D0240E">
        <w:t xml:space="preserve"> (or other third party)</w:t>
      </w:r>
      <w:r>
        <w:t>, to sign this Agreement and thereby legal bind the Sponsor to its terms as a Party.</w:t>
      </w:r>
      <w:r w:rsidR="00F823BB">
        <w:t xml:space="preserve"> Remove this Appendix if it is not applicable.</w:t>
      </w:r>
    </w:p>
    <w:p w14:paraId="69C8BBDC" w14:textId="35158259" w:rsidR="009C25FB" w:rsidRPr="00ED79A0" w:rsidRDefault="009C25FB" w:rsidP="009C25FB">
      <w:pPr>
        <w:pStyle w:val="Normalnos"/>
      </w:pPr>
      <w:r>
        <w:t xml:space="preserve">Appendix 9 </w:t>
      </w:r>
      <w:proofErr w:type="spellStart"/>
      <w:r>
        <w:t>mCTA</w:t>
      </w:r>
      <w:proofErr w:type="spellEnd"/>
      <w:r>
        <w:t xml:space="preserve"> (Appendix 10 CRO-</w:t>
      </w:r>
      <w:proofErr w:type="spellStart"/>
      <w:r>
        <w:t>mCTA</w:t>
      </w:r>
      <w:proofErr w:type="spellEnd"/>
      <w:r>
        <w:t xml:space="preserve">): </w:t>
      </w:r>
      <w:r w:rsidR="00ED79A0" w:rsidRPr="00C0283A">
        <w:rPr>
          <w:bCs/>
        </w:rPr>
        <w:t>Authority to Defer Registration of the Clinical Trial under Clause 4.6.1</w:t>
      </w:r>
      <w:r w:rsidR="00345BC0">
        <w:rPr>
          <w:bCs/>
        </w:rPr>
        <w:t xml:space="preserve"> (Clause 4.7.1 CRO-</w:t>
      </w:r>
      <w:proofErr w:type="spellStart"/>
      <w:r w:rsidR="00345BC0">
        <w:rPr>
          <w:bCs/>
        </w:rPr>
        <w:t>mCTA</w:t>
      </w:r>
      <w:proofErr w:type="spellEnd"/>
      <w:r w:rsidR="00345BC0">
        <w:rPr>
          <w:bCs/>
        </w:rPr>
        <w:t>)</w:t>
      </w:r>
    </w:p>
    <w:p w14:paraId="782FB380" w14:textId="7BC5023C" w:rsidR="00ED79A0" w:rsidRPr="008B39DD" w:rsidRDefault="00D8335B" w:rsidP="00C0283A">
      <w:pPr>
        <w:ind w:left="567"/>
      </w:pPr>
      <w:r>
        <w:lastRenderedPageBreak/>
        <w:t xml:space="preserve">Where applicable, attach here evidence of </w:t>
      </w:r>
      <w:r w:rsidR="00045ECB">
        <w:t xml:space="preserve">authority from the Health Research Authority to defer registration of the Clinical Trial. </w:t>
      </w:r>
      <w:r w:rsidR="00096ECD">
        <w:t xml:space="preserve">Remove this </w:t>
      </w:r>
      <w:r w:rsidR="00F823BB">
        <w:t>Appendix if it is not applicable.</w:t>
      </w:r>
    </w:p>
    <w:p w14:paraId="7F311FB3" w14:textId="77777777" w:rsidR="0021051B" w:rsidRPr="005832FA" w:rsidRDefault="0021051B" w:rsidP="00B9689C">
      <w:pPr>
        <w:pStyle w:val="Heading3"/>
      </w:pPr>
      <w:bookmarkStart w:id="4" w:name="_Toc146538117"/>
      <w:r w:rsidRPr="005832FA">
        <w:t xml:space="preserve">Contact Points for </w:t>
      </w:r>
      <w:r w:rsidRPr="00A321B9">
        <w:t>Advice</w:t>
      </w:r>
      <w:r w:rsidRPr="005832FA">
        <w:t xml:space="preserve"> and Assistance</w:t>
      </w:r>
      <w:bookmarkEnd w:id="4"/>
    </w:p>
    <w:p w14:paraId="1E6E739D" w14:textId="2A073AF4" w:rsidR="0021051B" w:rsidRDefault="0021051B" w:rsidP="0021051B">
      <w:r w:rsidRPr="00A321B9">
        <w:rPr>
          <w:b/>
        </w:rPr>
        <w:t xml:space="preserve">For queries relating to the use of the </w:t>
      </w:r>
      <w:proofErr w:type="spellStart"/>
      <w:r w:rsidRPr="00A321B9">
        <w:rPr>
          <w:b/>
        </w:rPr>
        <w:t>mCTAs</w:t>
      </w:r>
      <w:proofErr w:type="spellEnd"/>
      <w:r w:rsidRPr="00A321B9">
        <w:rPr>
          <w:b/>
        </w:rPr>
        <w:t xml:space="preserve"> for trials taking place in England</w:t>
      </w:r>
      <w:r>
        <w:t>:</w:t>
      </w:r>
      <w:r w:rsidR="00A321B9">
        <w:br/>
      </w:r>
      <w:r w:rsidRPr="005832FA">
        <w:t xml:space="preserve">please contact the Health Research Authority, at </w:t>
      </w:r>
      <w:hyperlink r:id="rId22" w:history="1">
        <w:r w:rsidR="007D36EE" w:rsidRPr="00240623">
          <w:rPr>
            <w:rStyle w:val="Hyperlink"/>
          </w:rPr>
          <w:t>alastair.nicholson@hra.nhs.uk</w:t>
        </w:r>
      </w:hyperlink>
      <w:r w:rsidRPr="005832FA">
        <w:t>.</w:t>
      </w:r>
    </w:p>
    <w:p w14:paraId="672F6F27" w14:textId="7918ADA0" w:rsidR="0021051B" w:rsidRDefault="0021051B" w:rsidP="0021051B">
      <w:r w:rsidRPr="00A321B9">
        <w:rPr>
          <w:b/>
        </w:rPr>
        <w:t>For queries relating to use in Wales</w:t>
      </w:r>
      <w:r>
        <w:t>:</w:t>
      </w:r>
      <w:r w:rsidR="00A321B9">
        <w:br/>
      </w:r>
      <w:r w:rsidRPr="005832FA">
        <w:t xml:space="preserve">please contact the Health and Care Research Wales Support </w:t>
      </w:r>
      <w:r w:rsidR="00802E41">
        <w:t xml:space="preserve">and Delivery </w:t>
      </w:r>
      <w:r w:rsidRPr="005832FA">
        <w:t xml:space="preserve">Centre at </w:t>
      </w:r>
      <w:hyperlink r:id="rId23" w:history="1">
        <w:r w:rsidRPr="005832FA">
          <w:rPr>
            <w:rStyle w:val="Hyperlink"/>
          </w:rPr>
          <w:t>research-contracts@wales.nhs.uk</w:t>
        </w:r>
      </w:hyperlink>
      <w:r w:rsidRPr="005832FA">
        <w:t>.</w:t>
      </w:r>
    </w:p>
    <w:p w14:paraId="5B10C1E9" w14:textId="536F72AE" w:rsidR="0021051B" w:rsidRDefault="0021051B" w:rsidP="0021051B">
      <w:r w:rsidRPr="00A321B9">
        <w:rPr>
          <w:b/>
        </w:rPr>
        <w:t>For queries relating to use in Scotland</w:t>
      </w:r>
      <w:r>
        <w:t>:</w:t>
      </w:r>
      <w:r w:rsidR="00A321B9">
        <w:br/>
      </w:r>
      <w:r w:rsidRPr="005832FA">
        <w:t xml:space="preserve">please contact NHS Research Scotland at </w:t>
      </w:r>
      <w:hyperlink r:id="rId24" w:history="1">
        <w:r w:rsidRPr="005832FA">
          <w:rPr>
            <w:rStyle w:val="Hyperlink"/>
          </w:rPr>
          <w:t>enquiries@nrs.org.uk</w:t>
        </w:r>
      </w:hyperlink>
      <w:r w:rsidRPr="005832FA">
        <w:t>.</w:t>
      </w:r>
    </w:p>
    <w:p w14:paraId="1A9A140F" w14:textId="11F37730" w:rsidR="0021051B" w:rsidRDefault="0021051B" w:rsidP="0021051B">
      <w:r w:rsidRPr="00A321B9">
        <w:rPr>
          <w:b/>
        </w:rPr>
        <w:t>For queries relating to use in Northern Ireland</w:t>
      </w:r>
      <w:r>
        <w:t>:</w:t>
      </w:r>
      <w:r w:rsidR="00A321B9">
        <w:br/>
      </w:r>
      <w:r w:rsidRPr="005832FA">
        <w:t xml:space="preserve">please contact </w:t>
      </w:r>
      <w:hyperlink r:id="rId25" w:history="1">
        <w:r w:rsidRPr="005832FA">
          <w:rPr>
            <w:rStyle w:val="Hyperlink"/>
          </w:rPr>
          <w:t>ResearchContracts@innovations.hscni.net</w:t>
        </w:r>
      </w:hyperlink>
      <w:r w:rsidRPr="005832FA">
        <w:t>.</w:t>
      </w:r>
    </w:p>
    <w:p w14:paraId="00851BAC" w14:textId="6E94D75A" w:rsidR="00B87889" w:rsidRDefault="00B87889" w:rsidP="00B87889">
      <w:pPr>
        <w:pStyle w:val="Heading2"/>
        <w:numPr>
          <w:ilvl w:val="0"/>
          <w:numId w:val="0"/>
        </w:numPr>
      </w:pPr>
      <w:bookmarkStart w:id="5" w:name="_Section_3:_Background"/>
      <w:bookmarkStart w:id="6" w:name="_Toc146538118"/>
      <w:bookmarkEnd w:id="5"/>
      <w:r w:rsidRPr="00A20F7E">
        <w:t>Section</w:t>
      </w:r>
      <w:r w:rsidRPr="007145AE">
        <w:t xml:space="preserve"> </w:t>
      </w:r>
      <w:r>
        <w:t>3:</w:t>
      </w:r>
      <w:r w:rsidRPr="007145AE">
        <w:t xml:space="preserve"> </w:t>
      </w:r>
      <w:r>
        <w:t>Background and Change History</w:t>
      </w:r>
      <w:bookmarkEnd w:id="6"/>
    </w:p>
    <w:p w14:paraId="4C5F217B" w14:textId="74449D65" w:rsidR="000D52BE" w:rsidRPr="0081098F" w:rsidRDefault="000D52BE" w:rsidP="00B9689C">
      <w:pPr>
        <w:pStyle w:val="Heading3"/>
      </w:pPr>
      <w:bookmarkStart w:id="7" w:name="_Toc146538119"/>
      <w:r w:rsidRPr="00DB2D00">
        <w:t>Background</w:t>
      </w:r>
      <w:bookmarkEnd w:id="7"/>
    </w:p>
    <w:p w14:paraId="78945601" w14:textId="77777777" w:rsidR="000D52BE" w:rsidRPr="0081098F" w:rsidRDefault="000D52BE" w:rsidP="000D52BE">
      <w:r w:rsidRPr="0081098F">
        <w:t xml:space="preserve">The </w:t>
      </w:r>
      <w:proofErr w:type="spellStart"/>
      <w:r w:rsidRPr="0081098F">
        <w:t>mCTA</w:t>
      </w:r>
      <w:proofErr w:type="spellEnd"/>
      <w:r w:rsidRPr="0081098F">
        <w:t xml:space="preserve"> was published by the Department of Health and the ABPI in 2003. </w:t>
      </w:r>
    </w:p>
    <w:p w14:paraId="6DB45AE6" w14:textId="77777777" w:rsidR="000D52BE" w:rsidRPr="0081098F" w:rsidRDefault="000D52BE" w:rsidP="000D52BE">
      <w:r w:rsidRPr="0081098F">
        <w:t xml:space="preserve">The </w:t>
      </w:r>
      <w:proofErr w:type="spellStart"/>
      <w:r w:rsidRPr="0081098F">
        <w:t>mCTA</w:t>
      </w:r>
      <w:proofErr w:type="spellEnd"/>
      <w:r w:rsidRPr="0081098F">
        <w:t xml:space="preserve"> was updated in 2006 to </w:t>
      </w:r>
      <w:proofErr w:type="gramStart"/>
      <w:r w:rsidRPr="0081098F">
        <w:t>take into account</w:t>
      </w:r>
      <w:proofErr w:type="gramEnd"/>
      <w:r w:rsidRPr="0081098F">
        <w:t xml:space="preserve"> the introduction of the EU clinical trials directive and the directive on good clinical practice in pharmaceutical research. Versions of the </w:t>
      </w:r>
      <w:proofErr w:type="spellStart"/>
      <w:r w:rsidRPr="0081098F">
        <w:t>mCTA</w:t>
      </w:r>
      <w:proofErr w:type="spellEnd"/>
      <w:r w:rsidRPr="0081098F">
        <w:t xml:space="preserve"> were also created for use in Northern Ireland, </w:t>
      </w:r>
      <w:proofErr w:type="gramStart"/>
      <w:r w:rsidRPr="0081098F">
        <w:t>Scotland</w:t>
      </w:r>
      <w:proofErr w:type="gramEnd"/>
      <w:r w:rsidRPr="0081098F">
        <w:t xml:space="preserve"> and Wales.</w:t>
      </w:r>
    </w:p>
    <w:p w14:paraId="3B10112E" w14:textId="3F8B5883" w:rsidR="000D52BE" w:rsidRPr="0081098F" w:rsidRDefault="000D52BE" w:rsidP="000D52BE">
      <w:r w:rsidRPr="0081098F">
        <w:t>The first CRO-</w:t>
      </w:r>
      <w:proofErr w:type="spellStart"/>
      <w:r w:rsidRPr="0081098F">
        <w:t>mCTA</w:t>
      </w:r>
      <w:proofErr w:type="spellEnd"/>
      <w:r w:rsidRPr="0081098F">
        <w:t xml:space="preserve"> was published in 2007. Based on </w:t>
      </w:r>
      <w:proofErr w:type="spellStart"/>
      <w:r w:rsidRPr="0081098F">
        <w:t>mCTA</w:t>
      </w:r>
      <w:proofErr w:type="spellEnd"/>
      <w:r w:rsidRPr="0081098F">
        <w:t xml:space="preserve"> 2006, it allowed unmodified use of a template agreement in circumstances where a CRO undertook site management responsibilities and </w:t>
      </w:r>
      <w:r w:rsidR="001E6AA8">
        <w:t xml:space="preserve">chose to become Party to the </w:t>
      </w:r>
      <w:r w:rsidR="00CE081A">
        <w:t xml:space="preserve">site agreement, </w:t>
      </w:r>
      <w:r w:rsidRPr="0081098F">
        <w:t>allow</w:t>
      </w:r>
      <w:r w:rsidR="00CE081A">
        <w:t>ing</w:t>
      </w:r>
      <w:r w:rsidRPr="0081098F">
        <w:t xml:space="preserve"> for the division of responsibilities between </w:t>
      </w:r>
      <w:r>
        <w:t>Sponsor</w:t>
      </w:r>
      <w:r w:rsidRPr="0081098F">
        <w:t xml:space="preserve"> and CRO to be set out.</w:t>
      </w:r>
    </w:p>
    <w:p w14:paraId="726FF3A4" w14:textId="24E12D4E" w:rsidR="000D52BE" w:rsidRPr="0081098F" w:rsidRDefault="000D52BE" w:rsidP="000D52BE">
      <w:r w:rsidRPr="0081098F">
        <w:t xml:space="preserve">A further update, to both the </w:t>
      </w:r>
      <w:proofErr w:type="spellStart"/>
      <w:r w:rsidRPr="0081098F">
        <w:t>mCTA</w:t>
      </w:r>
      <w:proofErr w:type="spellEnd"/>
      <w:r w:rsidRPr="0081098F">
        <w:t xml:space="preserve"> and CRO-</w:t>
      </w:r>
      <w:proofErr w:type="spellStart"/>
      <w:r w:rsidRPr="0081098F">
        <w:t>mCTA</w:t>
      </w:r>
      <w:proofErr w:type="spellEnd"/>
      <w:r w:rsidRPr="0081098F">
        <w:t xml:space="preserve">, took place in 2011. Modifications were made in two areas only: clarification that universities employing staff involved in contract clinical trials at </w:t>
      </w:r>
      <w:r w:rsidR="00601325">
        <w:t>Trial Sites</w:t>
      </w:r>
      <w:r w:rsidRPr="0081098F">
        <w:t xml:space="preserve"> are classed as agents of the </w:t>
      </w:r>
      <w:r>
        <w:t>Participating Organisation</w:t>
      </w:r>
      <w:r w:rsidRPr="0081098F">
        <w:t>; and anti-bribery and corruption provisions were included.</w:t>
      </w:r>
    </w:p>
    <w:p w14:paraId="4BE2C3ED" w14:textId="77777777" w:rsidR="000D52BE" w:rsidRPr="0081098F" w:rsidRDefault="000D52BE" w:rsidP="000D52BE">
      <w:r w:rsidRPr="0081098F">
        <w:t xml:space="preserve">The 2018 model was the fourth version of the </w:t>
      </w:r>
      <w:proofErr w:type="spellStart"/>
      <w:r w:rsidRPr="0081098F">
        <w:t>mCTA</w:t>
      </w:r>
      <w:proofErr w:type="spellEnd"/>
      <w:r w:rsidRPr="0081098F">
        <w:t>, and the third version of the CRO-</w:t>
      </w:r>
      <w:proofErr w:type="spellStart"/>
      <w:r w:rsidRPr="0081098F">
        <w:t>mCTA</w:t>
      </w:r>
      <w:proofErr w:type="spellEnd"/>
      <w:r w:rsidRPr="0081098F">
        <w:t>, and was influenced by the work of the Ministerial Industry Steering Group (MISG), a body which brings together government and the bio-pharmaceutical industry.</w:t>
      </w:r>
    </w:p>
    <w:p w14:paraId="558343EC" w14:textId="77777777" w:rsidR="000D52BE" w:rsidRPr="0081098F" w:rsidRDefault="000D52BE" w:rsidP="000D52BE">
      <w:r w:rsidRPr="0081098F">
        <w:t>In 2016, the MISG Clinical Research Working Group (CRWG) recognised the need to enhance further the UK's position as a great place to do commercially</w:t>
      </w:r>
      <w:r>
        <w:t xml:space="preserve"> funded</w:t>
      </w:r>
      <w:r w:rsidRPr="0081098F">
        <w:t xml:space="preserve"> research. Following feedback from NHS stakeholders and industry partners, it was decided to develop UK-wide </w:t>
      </w:r>
      <w:proofErr w:type="spellStart"/>
      <w:r w:rsidRPr="0081098F">
        <w:t>mCTAs</w:t>
      </w:r>
      <w:proofErr w:type="spellEnd"/>
      <w:r w:rsidRPr="0081098F">
        <w:t xml:space="preserve"> as well as bringing the </w:t>
      </w:r>
      <w:proofErr w:type="spellStart"/>
      <w:r w:rsidRPr="0081098F">
        <w:t>mCTAs</w:t>
      </w:r>
      <w:proofErr w:type="spellEnd"/>
      <w:r w:rsidRPr="0081098F">
        <w:t xml:space="preserve"> up</w:t>
      </w:r>
      <w:r>
        <w:t xml:space="preserve"> </w:t>
      </w:r>
      <w:r w:rsidRPr="0081098F">
        <w:t>to</w:t>
      </w:r>
      <w:r>
        <w:t xml:space="preserve"> </w:t>
      </w:r>
      <w:r w:rsidRPr="0081098F">
        <w:t>date with current practice</w:t>
      </w:r>
      <w:r>
        <w:t xml:space="preserve"> and</w:t>
      </w:r>
      <w:r w:rsidRPr="0081098F">
        <w:t xml:space="preserve"> regulations.</w:t>
      </w:r>
    </w:p>
    <w:p w14:paraId="27D192FF" w14:textId="77777777" w:rsidR="000D52BE" w:rsidRDefault="000D52BE" w:rsidP="000D52BE">
      <w:r w:rsidRPr="0081098F">
        <w:t>The March 2020</w:t>
      </w:r>
      <w:r>
        <w:t xml:space="preserve"> </w:t>
      </w:r>
      <w:proofErr w:type="spellStart"/>
      <w:r>
        <w:t>mCTAs</w:t>
      </w:r>
      <w:proofErr w:type="spellEnd"/>
      <w:r w:rsidRPr="0081098F">
        <w:t xml:space="preserve"> buil</w:t>
      </w:r>
      <w:r>
        <w:t>t</w:t>
      </w:r>
      <w:r w:rsidRPr="0081098F">
        <w:t xml:space="preserve"> upon the previous versions and reflect</w:t>
      </w:r>
      <w:r>
        <w:t>ed</w:t>
      </w:r>
      <w:r w:rsidRPr="0081098F">
        <w:t xml:space="preserve"> significant engagement with both NHS and commercial stakeholders. The most substantial </w:t>
      </w:r>
      <w:r w:rsidRPr="0081098F">
        <w:lastRenderedPageBreak/>
        <w:t xml:space="preserve">changes </w:t>
      </w:r>
      <w:r>
        <w:t>took</w:t>
      </w:r>
      <w:r w:rsidRPr="0081098F">
        <w:t xml:space="preserve"> account of the introduction of the General Data Protection Regulation (GDPR) and the Data Protection Act 2018. </w:t>
      </w:r>
      <w:r>
        <w:t>From this version onwards, the</w:t>
      </w:r>
      <w:r w:rsidRPr="0081098F">
        <w:t xml:space="preserve"> </w:t>
      </w:r>
      <w:proofErr w:type="spellStart"/>
      <w:r w:rsidRPr="0081098F">
        <w:t>mCTAs</w:t>
      </w:r>
      <w:proofErr w:type="spellEnd"/>
      <w:r w:rsidRPr="0081098F">
        <w:t xml:space="preserve"> </w:t>
      </w:r>
      <w:r>
        <w:t>have</w:t>
      </w:r>
      <w:r w:rsidRPr="0081098F">
        <w:t xml:space="preserve"> form</w:t>
      </w:r>
      <w:r>
        <w:t>ed</w:t>
      </w:r>
      <w:r w:rsidRPr="0081098F">
        <w:t xml:space="preserve"> GDPR Article 28(3)</w:t>
      </w:r>
      <w:r>
        <w:t xml:space="preserve"> </w:t>
      </w:r>
      <w:r w:rsidRPr="0081098F">
        <w:t xml:space="preserve">compliant data processing agreements, as well as incorporating provisions for the transfer of Personal Data and/or pseudonymised data. </w:t>
      </w:r>
    </w:p>
    <w:p w14:paraId="2E010772" w14:textId="77777777" w:rsidR="000D52BE" w:rsidRDefault="000D52BE" w:rsidP="000D52BE">
      <w:r>
        <w:t xml:space="preserve">The January 2021 </w:t>
      </w:r>
      <w:proofErr w:type="spellStart"/>
      <w:r>
        <w:t>mCTAs</w:t>
      </w:r>
      <w:proofErr w:type="spellEnd"/>
      <w:r>
        <w:t xml:space="preserve"> incorporate further industry feedback on the templates, as well as taking account of the legal situation at the end of the transition period for the UK leaving the EU.</w:t>
      </w:r>
    </w:p>
    <w:p w14:paraId="450DE7BD" w14:textId="418017CD" w:rsidR="00A3146D" w:rsidRDefault="00A3146D" w:rsidP="000D52BE">
      <w:r>
        <w:t xml:space="preserve">The May 2022 versions take account of comments and suggestions received by users and align with the UK guidance on the </w:t>
      </w:r>
      <w:hyperlink r:id="rId26" w:history="1">
        <w:r w:rsidRPr="006D1D70">
          <w:rPr>
            <w:rStyle w:val="Hyperlink"/>
          </w:rPr>
          <w:t>set up of research activity at NHS organisations (interventional research)</w:t>
        </w:r>
      </w:hyperlink>
      <w:r>
        <w:t>, particularly in adaptations to allow for use, where required, as head agreements from which a ‘hub’ may subcontract to ‘spokes’.</w:t>
      </w:r>
    </w:p>
    <w:p w14:paraId="14BF732C" w14:textId="297717E1" w:rsidR="007E6561" w:rsidRDefault="007E6561" w:rsidP="000D52BE">
      <w:r>
        <w:t xml:space="preserve">The October 2023 versions of the </w:t>
      </w:r>
      <w:proofErr w:type="spellStart"/>
      <w:r>
        <w:t>mCTAs</w:t>
      </w:r>
      <w:proofErr w:type="spellEnd"/>
      <w:r>
        <w:t xml:space="preserve"> in</w:t>
      </w:r>
      <w:r w:rsidR="00AB20C7">
        <w:t>troduced</w:t>
      </w:r>
      <w:r>
        <w:t xml:space="preserve"> </w:t>
      </w:r>
      <w:r w:rsidR="00AB20C7">
        <w:t>the</w:t>
      </w:r>
      <w:r>
        <w:t xml:space="preserve"> standardised Finance Appendix template</w:t>
      </w:r>
      <w:r w:rsidR="00AB20C7">
        <w:t xml:space="preserve"> </w:t>
      </w:r>
      <w:r w:rsidR="00B3127B">
        <w:t>as part of the government’s response to the O’Shaughnessy Review of commercial clinical research in the UK.</w:t>
      </w:r>
    </w:p>
    <w:p w14:paraId="78876CD6" w14:textId="77777777" w:rsidR="000D52BE" w:rsidRPr="0081098F" w:rsidRDefault="000D52BE" w:rsidP="000D52BE">
      <w:r w:rsidRPr="0081098F">
        <w:t xml:space="preserve">It is anticipated that the </w:t>
      </w:r>
      <w:proofErr w:type="spellStart"/>
      <w:r w:rsidRPr="0081098F">
        <w:t>mCTAs</w:t>
      </w:r>
      <w:proofErr w:type="spellEnd"/>
      <w:r w:rsidRPr="0081098F">
        <w:t xml:space="preserve"> will be kept under ongoing review.</w:t>
      </w:r>
    </w:p>
    <w:p w14:paraId="0FA1C715" w14:textId="6A412210" w:rsidR="000D52BE" w:rsidRDefault="00B87889" w:rsidP="00B9689C">
      <w:pPr>
        <w:pStyle w:val="Heading3"/>
      </w:pPr>
      <w:bookmarkStart w:id="8" w:name="_Toc146538120"/>
      <w:r>
        <w:t>Change History</w:t>
      </w:r>
      <w:bookmarkEnd w:id="8"/>
    </w:p>
    <w:p w14:paraId="065BB806" w14:textId="414652E6" w:rsidR="00FD0D40" w:rsidRDefault="00FD0D40" w:rsidP="00B9689C">
      <w:pPr>
        <w:pStyle w:val="Heading3"/>
      </w:pPr>
      <w:bookmarkStart w:id="9" w:name="_Toc146538121"/>
      <w:r>
        <w:t>Summary of Key Changes in October 2023</w:t>
      </w:r>
      <w:bookmarkEnd w:id="9"/>
    </w:p>
    <w:p w14:paraId="2C921354" w14:textId="77777777" w:rsidR="00FD0D40" w:rsidRPr="00FC7821" w:rsidRDefault="00FD0D40" w:rsidP="00FD0D40">
      <w:pPr>
        <w:rPr>
          <w:b/>
          <w:bCs/>
        </w:rPr>
      </w:pPr>
      <w:r w:rsidRPr="00FC7821">
        <w:rPr>
          <w:b/>
          <w:bCs/>
        </w:rPr>
        <w:t>General</w:t>
      </w:r>
    </w:p>
    <w:p w14:paraId="7AFC56AD" w14:textId="256700EF" w:rsidR="00FD0D40" w:rsidRDefault="00FD0D40" w:rsidP="00FD0D40">
      <w:r>
        <w:t>References to Clinical Trial Subject updated to Participant.</w:t>
      </w:r>
    </w:p>
    <w:p w14:paraId="398E833D" w14:textId="7235F288" w:rsidR="00986C1C" w:rsidRDefault="00C952EA" w:rsidP="00FD0D40">
      <w:r>
        <w:t>References to contract variation</w:t>
      </w:r>
      <w:r w:rsidR="00986C1C">
        <w:t>s simplified and clarified throughout.</w:t>
      </w:r>
    </w:p>
    <w:p w14:paraId="46595CC5" w14:textId="79F9A591" w:rsidR="002255EA" w:rsidRDefault="002255EA" w:rsidP="00FD0D40">
      <w:r>
        <w:rPr>
          <w:b/>
          <w:bCs/>
        </w:rPr>
        <w:t>Definitions</w:t>
      </w:r>
    </w:p>
    <w:p w14:paraId="660A3E7A" w14:textId="1F153CEB" w:rsidR="00C840AF" w:rsidRDefault="00C840AF" w:rsidP="00FD0D40">
      <w:r>
        <w:t>Clarification of the definition of Affiliate.</w:t>
      </w:r>
    </w:p>
    <w:p w14:paraId="56BD1E70" w14:textId="7B9B8ABE" w:rsidR="002255EA" w:rsidRDefault="002255EA" w:rsidP="00FD0D40">
      <w:r>
        <w:t xml:space="preserve">New definition added for </w:t>
      </w:r>
      <w:r w:rsidR="00577D62">
        <w:t xml:space="preserve">Confidential </w:t>
      </w:r>
      <w:r>
        <w:t>Participant I</w:t>
      </w:r>
      <w:r w:rsidR="00577D62">
        <w:t>nformation.</w:t>
      </w:r>
    </w:p>
    <w:p w14:paraId="6FA7B331" w14:textId="76D5F99D" w:rsidR="000A46C9" w:rsidRDefault="000A46C9" w:rsidP="00FD0D40">
      <w:r>
        <w:t xml:space="preserve">New definition added for Environmental </w:t>
      </w:r>
      <w:r w:rsidR="006D7664">
        <w:t>Information Regulations (EIR).</w:t>
      </w:r>
    </w:p>
    <w:p w14:paraId="475384DD" w14:textId="4B606E85" w:rsidR="00577D62" w:rsidRDefault="00577D62" w:rsidP="00FD0D40">
      <w:r>
        <w:t>New definition added for Expenses.</w:t>
      </w:r>
    </w:p>
    <w:p w14:paraId="4EFA4F58" w14:textId="39F770CC" w:rsidR="00C003EB" w:rsidRPr="002255EA" w:rsidRDefault="00C003EB" w:rsidP="00FD0D40">
      <w:r>
        <w:t>New definition added for Retention Period.</w:t>
      </w:r>
    </w:p>
    <w:p w14:paraId="2DAFAE26" w14:textId="5A079286" w:rsidR="00FD0D40" w:rsidRDefault="009E5BC6" w:rsidP="00FD0D40">
      <w:r>
        <w:rPr>
          <w:b/>
          <w:bCs/>
        </w:rPr>
        <w:t>Clause 4</w:t>
      </w:r>
    </w:p>
    <w:p w14:paraId="76E169B6" w14:textId="3FF2138E" w:rsidR="00613DE1" w:rsidRDefault="00613DE1" w:rsidP="00FD0D40">
      <w:r>
        <w:t xml:space="preserve">Addition of Clause 4.6 to </w:t>
      </w:r>
      <w:r w:rsidR="00AC68BC">
        <w:t>clarify whether deferral of public registration has been requested.</w:t>
      </w:r>
    </w:p>
    <w:p w14:paraId="030D3878" w14:textId="45841333" w:rsidR="00F8073D" w:rsidRDefault="00F8073D" w:rsidP="00FD0D40">
      <w:r>
        <w:t xml:space="preserve">Clause 4.15 added </w:t>
      </w:r>
      <w:r w:rsidR="002D61B9">
        <w:t xml:space="preserve">to include an obligation for Parties to ensure that </w:t>
      </w:r>
      <w:r w:rsidR="002C394E">
        <w:t xml:space="preserve">their </w:t>
      </w:r>
      <w:r w:rsidR="002D61B9">
        <w:t xml:space="preserve">notice, </w:t>
      </w:r>
      <w:proofErr w:type="gramStart"/>
      <w:r w:rsidR="002D61B9">
        <w:t>contact</w:t>
      </w:r>
      <w:proofErr w:type="gramEnd"/>
      <w:r w:rsidR="002D61B9">
        <w:t xml:space="preserve"> and payment details are kept up to date</w:t>
      </w:r>
      <w:r w:rsidR="002C394E">
        <w:t xml:space="preserve"> and shared with the others</w:t>
      </w:r>
      <w:r w:rsidR="00CE6A21">
        <w:t xml:space="preserve"> until the Retention Period ends.</w:t>
      </w:r>
    </w:p>
    <w:p w14:paraId="077C7DBC" w14:textId="241C56BB" w:rsidR="009E5BC6" w:rsidRDefault="009E5BC6" w:rsidP="00FD0D40">
      <w:r>
        <w:t>Clause 4.1</w:t>
      </w:r>
      <w:r w:rsidR="000A4363">
        <w:t>5</w:t>
      </w:r>
      <w:r w:rsidR="001B3E49">
        <w:t xml:space="preserve"> </w:t>
      </w:r>
      <w:r>
        <w:t xml:space="preserve">has been updated to </w:t>
      </w:r>
      <w:r w:rsidR="008C6B88">
        <w:t xml:space="preserve">include an obligation for the Sponsor to </w:t>
      </w:r>
      <w:r w:rsidR="000E50E2">
        <w:t xml:space="preserve">inform the Trial Site of any changes to the contact point for notices during the archiving period. </w:t>
      </w:r>
    </w:p>
    <w:p w14:paraId="0A8ABDA3" w14:textId="066C9C8A" w:rsidR="0028184D" w:rsidRDefault="0028184D" w:rsidP="00FD0D40">
      <w:r>
        <w:lastRenderedPageBreak/>
        <w:t>Clause 4.1</w:t>
      </w:r>
      <w:r w:rsidR="00E70E81">
        <w:t>6</w:t>
      </w:r>
      <w:r>
        <w:t xml:space="preserve">.9 is modified to clarify that </w:t>
      </w:r>
      <w:r w:rsidR="00DA3D20">
        <w:t xml:space="preserve">the Sponsor should not </w:t>
      </w:r>
      <w:r w:rsidR="00055EFF">
        <w:t xml:space="preserve">receive additional </w:t>
      </w:r>
      <w:r w:rsidR="00DA3D20">
        <w:t xml:space="preserve">identifiable </w:t>
      </w:r>
      <w:r w:rsidR="00986B2F">
        <w:t xml:space="preserve">Confidential </w:t>
      </w:r>
      <w:r w:rsidR="00DA3D20">
        <w:t xml:space="preserve">Participant </w:t>
      </w:r>
      <w:r w:rsidR="00986B2F">
        <w:t>Information</w:t>
      </w:r>
      <w:r w:rsidR="003F2335">
        <w:t xml:space="preserve"> if receiving </w:t>
      </w:r>
      <w:r w:rsidR="003164B8">
        <w:t xml:space="preserve">Trial Site records after the Retention Period (in keeping with separation of Investigator </w:t>
      </w:r>
      <w:r w:rsidR="00324FD1">
        <w:t>Trial Master File and Sponsor Trial Master File)</w:t>
      </w:r>
      <w:r w:rsidR="00CA4989">
        <w:t>.</w:t>
      </w:r>
      <w:r w:rsidR="00DA3D20">
        <w:t xml:space="preserve"> </w:t>
      </w:r>
      <w:r w:rsidR="00CA4989">
        <w:t>A</w:t>
      </w:r>
      <w:r w:rsidR="00DA3D20">
        <w:t>rrangements</w:t>
      </w:r>
      <w:r w:rsidR="00906CE8">
        <w:t xml:space="preserve"> added</w:t>
      </w:r>
      <w:r w:rsidR="00DA3D20">
        <w:t xml:space="preserve"> for ensuring </w:t>
      </w:r>
      <w:r w:rsidR="00A5728C">
        <w:t xml:space="preserve">the Trial Site is reimbursed </w:t>
      </w:r>
      <w:r w:rsidR="006007D5">
        <w:t>for costs associated with archiving, in accordance with the Finance Appendix</w:t>
      </w:r>
      <w:r w:rsidR="00620F54">
        <w:t>.</w:t>
      </w:r>
      <w:r w:rsidR="000A4363">
        <w:t xml:space="preserve"> A further addition is made to allow the Trial Site to destroy all Clinical Trial records after the Retention Period has ended</w:t>
      </w:r>
      <w:r w:rsidR="004F5AA5">
        <w:t>,</w:t>
      </w:r>
      <w:r w:rsidR="000A4363">
        <w:t xml:space="preserve"> where the Trial Site has received no response from the Sponsor to its request to destroy the records.</w:t>
      </w:r>
    </w:p>
    <w:p w14:paraId="57E7A283" w14:textId="0A446FC4" w:rsidR="001A2F14" w:rsidRPr="00C0283A" w:rsidRDefault="005D0337" w:rsidP="00FD0D40">
      <w:pPr>
        <w:rPr>
          <w:b/>
          <w:bCs/>
        </w:rPr>
      </w:pPr>
      <w:r w:rsidRPr="00C0283A">
        <w:rPr>
          <w:b/>
          <w:bCs/>
        </w:rPr>
        <w:t>Clause 5</w:t>
      </w:r>
    </w:p>
    <w:p w14:paraId="5C6E7C48" w14:textId="21B072BE" w:rsidR="005D0337" w:rsidRDefault="007912F6" w:rsidP="00FD0D40">
      <w:r>
        <w:t>Clarification on the meaning of “fees payable” added to Clause 5.4</w:t>
      </w:r>
      <w:r w:rsidR="00FB5C28">
        <w:t>.</w:t>
      </w:r>
    </w:p>
    <w:p w14:paraId="333C8698" w14:textId="4FED6663" w:rsidR="007912F6" w:rsidRDefault="007912F6" w:rsidP="00FD0D40">
      <w:r>
        <w:t xml:space="preserve">Clarification on the meaning of </w:t>
      </w:r>
      <w:r w:rsidR="00FB5C28">
        <w:t>“value of the Agreement” added to Clause 5.5.</w:t>
      </w:r>
    </w:p>
    <w:p w14:paraId="74DCA3F3" w14:textId="0FE4510A" w:rsidR="0007024C" w:rsidRDefault="0007024C" w:rsidP="00FD0D40">
      <w:r>
        <w:rPr>
          <w:b/>
          <w:bCs/>
        </w:rPr>
        <w:t>Clause 7</w:t>
      </w:r>
    </w:p>
    <w:p w14:paraId="002EEDAA" w14:textId="6EA80B5F" w:rsidR="0007024C" w:rsidRDefault="0007024C" w:rsidP="00FD0D40">
      <w:r>
        <w:t>Addition of the EIRs throughout this Clause.</w:t>
      </w:r>
    </w:p>
    <w:p w14:paraId="197C3C85" w14:textId="16D11ED4" w:rsidR="007A4577" w:rsidRDefault="007A4577" w:rsidP="00FD0D40">
      <w:r>
        <w:rPr>
          <w:b/>
          <w:bCs/>
        </w:rPr>
        <w:t>Clause 8</w:t>
      </w:r>
    </w:p>
    <w:p w14:paraId="0FAFD84F" w14:textId="2A8CB906" w:rsidR="007A4577" w:rsidRDefault="007A4577" w:rsidP="00FD0D40">
      <w:r>
        <w:t>Addition of the EIRs to Clause 8.1.</w:t>
      </w:r>
    </w:p>
    <w:p w14:paraId="4BF33FEC" w14:textId="7774E8EF" w:rsidR="007A4577" w:rsidRPr="007A4577" w:rsidRDefault="00D17EB0" w:rsidP="00FD0D40">
      <w:r>
        <w:t>Modification made to clarify that Clause 8 applies to Clinical Trial records during the Retention Period.</w:t>
      </w:r>
    </w:p>
    <w:p w14:paraId="4D958C85" w14:textId="205E0F15" w:rsidR="00D72289" w:rsidRDefault="00D72289" w:rsidP="00FD0D40">
      <w:pPr>
        <w:rPr>
          <w:b/>
          <w:bCs/>
        </w:rPr>
      </w:pPr>
      <w:r>
        <w:rPr>
          <w:b/>
          <w:bCs/>
        </w:rPr>
        <w:t xml:space="preserve">Clause </w:t>
      </w:r>
      <w:r w:rsidR="00D526F6">
        <w:rPr>
          <w:b/>
          <w:bCs/>
        </w:rPr>
        <w:t>12</w:t>
      </w:r>
    </w:p>
    <w:p w14:paraId="73EC2C50" w14:textId="38AEFFEE" w:rsidR="00D526F6" w:rsidRDefault="00E375E9" w:rsidP="00FD0D40">
      <w:r>
        <w:t>Clauses 12.4 to 12.8</w:t>
      </w:r>
      <w:r w:rsidR="00967DF8">
        <w:t xml:space="preserve"> in the May 2022 version</w:t>
      </w:r>
      <w:r>
        <w:t xml:space="preserve"> either removed due to duplication or moved to Appendix 4.</w:t>
      </w:r>
    </w:p>
    <w:p w14:paraId="2A74CA3F" w14:textId="5701F76C" w:rsidR="00E375E9" w:rsidRDefault="00967DF8" w:rsidP="00FD0D40">
      <w:r>
        <w:t xml:space="preserve">Addition of new Clauses 12.3 and 12.4 to the October 2023 version to specify </w:t>
      </w:r>
      <w:r w:rsidR="001525F1">
        <w:t>how payments</w:t>
      </w:r>
      <w:r w:rsidR="00B2517F">
        <w:t xml:space="preserve"> will be managed to accommodate </w:t>
      </w:r>
      <w:r w:rsidR="001525F1">
        <w:t>increase</w:t>
      </w:r>
      <w:r w:rsidR="00B2517F">
        <w:t>s</w:t>
      </w:r>
      <w:r w:rsidR="001525F1">
        <w:t xml:space="preserve"> or decrease</w:t>
      </w:r>
      <w:r w:rsidR="00B2517F">
        <w:t>s</w:t>
      </w:r>
      <w:r w:rsidR="001525F1">
        <w:t xml:space="preserve"> in recruitment</w:t>
      </w:r>
      <w:r w:rsidR="00B2517F">
        <w:t xml:space="preserve"> and </w:t>
      </w:r>
      <w:r w:rsidR="0061430A">
        <w:t>over</w:t>
      </w:r>
      <w:r w:rsidR="00B2517F">
        <w:t xml:space="preserve">- and </w:t>
      </w:r>
      <w:r w:rsidR="0061430A">
        <w:t>under</w:t>
      </w:r>
      <w:r w:rsidR="00B2517F">
        <w:t>-recruitment.</w:t>
      </w:r>
    </w:p>
    <w:p w14:paraId="3D18822E" w14:textId="06A52DE2" w:rsidR="00BC3509" w:rsidRDefault="00BC3509" w:rsidP="00FD0D40">
      <w:r>
        <w:rPr>
          <w:b/>
          <w:bCs/>
        </w:rPr>
        <w:t>Clause 20</w:t>
      </w:r>
    </w:p>
    <w:p w14:paraId="298392C7" w14:textId="4133229A" w:rsidR="00BC3509" w:rsidRPr="00BC3509" w:rsidRDefault="003D6A00" w:rsidP="00FD0D40">
      <w:r>
        <w:t xml:space="preserve">Signature block </w:t>
      </w:r>
      <w:r w:rsidR="009A652F">
        <w:t xml:space="preserve">at Clause 20.5 modified to clarify when the Sponsor signs the Agreement </w:t>
      </w:r>
      <w:r w:rsidR="00441F89">
        <w:t xml:space="preserve">versus a </w:t>
      </w:r>
      <w:r w:rsidR="00E566A9">
        <w:t xml:space="preserve">third </w:t>
      </w:r>
      <w:r w:rsidR="00441F89">
        <w:t>party signing the Agreement on behalf of the Sponsor.</w:t>
      </w:r>
    </w:p>
    <w:p w14:paraId="6138AFF2" w14:textId="65FA2472" w:rsidR="004E44A5" w:rsidRDefault="00111FED" w:rsidP="00FD0D40">
      <w:pPr>
        <w:rPr>
          <w:b/>
          <w:bCs/>
        </w:rPr>
      </w:pPr>
      <w:r>
        <w:rPr>
          <w:b/>
          <w:bCs/>
        </w:rPr>
        <w:t>Appendices</w:t>
      </w:r>
    </w:p>
    <w:p w14:paraId="3AB745FA" w14:textId="7E4330E8" w:rsidR="004E44A5" w:rsidRDefault="004E44A5">
      <w:r>
        <w:t>Addition of the template Finance Appendix</w:t>
      </w:r>
      <w:r w:rsidR="00111FED">
        <w:t xml:space="preserve"> in Appendix 4</w:t>
      </w:r>
      <w:r>
        <w:t>, including the</w:t>
      </w:r>
      <w:r w:rsidR="004C4542">
        <w:t xml:space="preserve"> use of the</w:t>
      </w:r>
      <w:r>
        <w:t xml:space="preserve"> standard</w:t>
      </w:r>
      <w:r w:rsidR="004C4542">
        <w:t>ised</w:t>
      </w:r>
      <w:r>
        <w:t xml:space="preserve"> Finance Schedule</w:t>
      </w:r>
      <w:r w:rsidR="004C4542">
        <w:t xml:space="preserve"> from the iCT export</w:t>
      </w:r>
      <w:r>
        <w:t>.</w:t>
      </w:r>
    </w:p>
    <w:p w14:paraId="4DB81464" w14:textId="46FCF670" w:rsidR="00111FED" w:rsidRPr="004E44A5" w:rsidRDefault="00111FED" w:rsidP="00C0283A">
      <w:r>
        <w:t>Addition of Appendix 9</w:t>
      </w:r>
      <w:r w:rsidR="00CB45B8">
        <w:t xml:space="preserve"> (Appendix 10 CRO-</w:t>
      </w:r>
      <w:proofErr w:type="spellStart"/>
      <w:r w:rsidR="00CB45B8">
        <w:t>mCTA</w:t>
      </w:r>
      <w:proofErr w:type="spellEnd"/>
      <w:r w:rsidR="00CB45B8">
        <w:t>)</w:t>
      </w:r>
      <w:r>
        <w:t>.</w:t>
      </w:r>
    </w:p>
    <w:p w14:paraId="17D1179B" w14:textId="772CA24F" w:rsidR="00B87889" w:rsidRDefault="00B87889" w:rsidP="00B9689C">
      <w:pPr>
        <w:pStyle w:val="Heading3"/>
      </w:pPr>
      <w:bookmarkStart w:id="10" w:name="_Toc146538122"/>
      <w:r w:rsidRPr="0081098F">
        <w:t xml:space="preserve">Summary of Key </w:t>
      </w:r>
      <w:r w:rsidRPr="00DB2D00">
        <w:t>Changes</w:t>
      </w:r>
      <w:r w:rsidRPr="0081098F">
        <w:t xml:space="preserve"> in </w:t>
      </w:r>
      <w:r>
        <w:t>May</w:t>
      </w:r>
      <w:r w:rsidRPr="0081098F">
        <w:t xml:space="preserve"> 202</w:t>
      </w:r>
      <w:r>
        <w:t>2</w:t>
      </w:r>
      <w:bookmarkEnd w:id="10"/>
    </w:p>
    <w:p w14:paraId="5FC4B898" w14:textId="7E3C93DC" w:rsidR="00B87889" w:rsidRPr="00FC7821" w:rsidRDefault="004221A7" w:rsidP="00B87889">
      <w:pPr>
        <w:rPr>
          <w:b/>
          <w:bCs/>
        </w:rPr>
      </w:pPr>
      <w:r w:rsidRPr="00FC7821">
        <w:rPr>
          <w:b/>
          <w:bCs/>
        </w:rPr>
        <w:t>General</w:t>
      </w:r>
    </w:p>
    <w:p w14:paraId="750167BD" w14:textId="38F4001A" w:rsidR="004221A7" w:rsidRDefault="004221A7" w:rsidP="00B87889">
      <w:r>
        <w:t>References to Participating Organisation updated to Trial Site</w:t>
      </w:r>
      <w:r w:rsidR="007A6DB6">
        <w:t>.</w:t>
      </w:r>
    </w:p>
    <w:p w14:paraId="7D1EC908" w14:textId="03B4B09A" w:rsidR="004221A7" w:rsidRDefault="003B7263" w:rsidP="00B87889">
      <w:r>
        <w:lastRenderedPageBreak/>
        <w:t xml:space="preserve">Reference to non-applicability in </w:t>
      </w:r>
      <w:r w:rsidR="001D1FFD">
        <w:t>Phase</w:t>
      </w:r>
      <w:r>
        <w:t xml:space="preserve"> I trials with healthy volunteers removed, as the current template is considered suitable for use in such trials in the NHS</w:t>
      </w:r>
      <w:r w:rsidR="007A6DB6">
        <w:t>.</w:t>
      </w:r>
    </w:p>
    <w:p w14:paraId="5304EDF7" w14:textId="0F2EABC8" w:rsidR="00EC7A5A" w:rsidRPr="00FC7821" w:rsidRDefault="00EC7A5A" w:rsidP="00B87889">
      <w:pPr>
        <w:rPr>
          <w:b/>
          <w:bCs/>
        </w:rPr>
      </w:pPr>
      <w:r w:rsidRPr="00FC7821">
        <w:rPr>
          <w:b/>
          <w:bCs/>
        </w:rPr>
        <w:t>Recitals</w:t>
      </w:r>
    </w:p>
    <w:p w14:paraId="0C80D6E6" w14:textId="45E7BE8A" w:rsidR="00EC7A5A" w:rsidRDefault="00EC7A5A" w:rsidP="00B87889">
      <w:r>
        <w:t xml:space="preserve">New recital G </w:t>
      </w:r>
      <w:r w:rsidR="00643736">
        <w:t>– for use when it is intended that the Trial Site will be a Lead Trial Site in a hub and spoke delivery model, subcontracting with Other Trial Sites</w:t>
      </w:r>
      <w:r w:rsidR="007A6DB6">
        <w:t>.</w:t>
      </w:r>
    </w:p>
    <w:p w14:paraId="097DC2B5" w14:textId="5789279E" w:rsidR="00A252E3" w:rsidRPr="00FC7821" w:rsidRDefault="00A252E3" w:rsidP="00B87889">
      <w:pPr>
        <w:rPr>
          <w:b/>
          <w:bCs/>
        </w:rPr>
      </w:pPr>
      <w:r w:rsidRPr="00FC7821">
        <w:rPr>
          <w:b/>
          <w:bCs/>
        </w:rPr>
        <w:t>Definitions</w:t>
      </w:r>
    </w:p>
    <w:p w14:paraId="43C1AFC4" w14:textId="66858F9E" w:rsidR="008A2920" w:rsidRDefault="008A2920" w:rsidP="00B87889">
      <w:r>
        <w:t xml:space="preserve">Revised definition </w:t>
      </w:r>
      <w:r w:rsidR="0033070A">
        <w:t>for</w:t>
      </w:r>
      <w:r>
        <w:t xml:space="preserve"> Data </w:t>
      </w:r>
      <w:r w:rsidR="00CF3DF0">
        <w:t>Protection</w:t>
      </w:r>
      <w:r>
        <w:t xml:space="preserve"> Laws and Guidance (to reflect </w:t>
      </w:r>
      <w:r w:rsidR="00CF3DF0">
        <w:t>EU adequacy decision on UK data protection regime)</w:t>
      </w:r>
      <w:r w:rsidR="007A6DB6">
        <w:t>.</w:t>
      </w:r>
    </w:p>
    <w:p w14:paraId="2DFAC385" w14:textId="2CE39849" w:rsidR="00A252E3" w:rsidRDefault="00A252E3" w:rsidP="00B87889">
      <w:r>
        <w:t>New definition added for Hub and Spoke Agreement</w:t>
      </w:r>
      <w:r w:rsidR="007A6DB6">
        <w:t>.</w:t>
      </w:r>
    </w:p>
    <w:p w14:paraId="2DAB44D1" w14:textId="3255F3F9" w:rsidR="007363F6" w:rsidRDefault="007363F6" w:rsidP="00B87889">
      <w:r>
        <w:t>New definition added for Investigator Site</w:t>
      </w:r>
      <w:r w:rsidR="007A6DB6">
        <w:t>.</w:t>
      </w:r>
    </w:p>
    <w:p w14:paraId="07E80CAE" w14:textId="267D6DED" w:rsidR="00892D47" w:rsidRDefault="00892D47" w:rsidP="00B87889">
      <w:r>
        <w:t>Definition of Site File changed to definition of Investigator Site File</w:t>
      </w:r>
      <w:r w:rsidR="007A6DB6">
        <w:t>.</w:t>
      </w:r>
    </w:p>
    <w:p w14:paraId="33B2A94C" w14:textId="34EEE81A" w:rsidR="003B7263" w:rsidRDefault="009D3666" w:rsidP="00B87889">
      <w:r>
        <w:t>New definition added for Lead Trial Site</w:t>
      </w:r>
      <w:r w:rsidR="007A6DB6">
        <w:t>.</w:t>
      </w:r>
    </w:p>
    <w:p w14:paraId="4B415736" w14:textId="4C4B0077" w:rsidR="0033070A" w:rsidRDefault="0033070A" w:rsidP="00B87889">
      <w:r>
        <w:t xml:space="preserve">Revised definition for </w:t>
      </w:r>
      <w:proofErr w:type="gramStart"/>
      <w:r>
        <w:t>Multi-Centre Trial</w:t>
      </w:r>
      <w:proofErr w:type="gramEnd"/>
      <w:r w:rsidR="00B66774">
        <w:t>, to specify that a Trial is Multi-Centre only if it has more than one Investigator Site (that is to say, more than one Principal Investigator)</w:t>
      </w:r>
      <w:r w:rsidR="007A6DB6">
        <w:t>.</w:t>
      </w:r>
    </w:p>
    <w:p w14:paraId="4325A409" w14:textId="745DB8F5" w:rsidR="006C29C9" w:rsidRDefault="006C29C9" w:rsidP="00B87889">
      <w:r>
        <w:t>New definition added for Other Trial Site</w:t>
      </w:r>
      <w:r w:rsidR="007A6DB6">
        <w:t>.</w:t>
      </w:r>
    </w:p>
    <w:p w14:paraId="4155B18D" w14:textId="4A8D8624" w:rsidR="00C656F8" w:rsidRDefault="00C656F8" w:rsidP="00B87889">
      <w:r>
        <w:t>New Definition added for Participant Identification Centre</w:t>
      </w:r>
      <w:r w:rsidR="007A6DB6">
        <w:t>.</w:t>
      </w:r>
    </w:p>
    <w:p w14:paraId="1CC67179" w14:textId="325FE5BA" w:rsidR="00212CB3" w:rsidRDefault="00212CB3" w:rsidP="00B87889">
      <w:r>
        <w:t>Definition of Site removed and references to Site throughout template updated (</w:t>
      </w:r>
      <w:proofErr w:type="gramStart"/>
      <w:r>
        <w:t>e.g.</w:t>
      </w:r>
      <w:proofErr w:type="gramEnd"/>
      <w:r>
        <w:t xml:space="preserve"> to Trial Site) or removed throughout</w:t>
      </w:r>
      <w:r w:rsidR="007A6DB6">
        <w:t>.</w:t>
      </w:r>
    </w:p>
    <w:p w14:paraId="1C38D04B" w14:textId="6F962D81" w:rsidR="00FC7821" w:rsidRPr="00FC7821" w:rsidRDefault="00FC7821" w:rsidP="00B87889">
      <w:pPr>
        <w:rPr>
          <w:b/>
          <w:bCs/>
        </w:rPr>
      </w:pPr>
      <w:r w:rsidRPr="00FC7821">
        <w:rPr>
          <w:b/>
          <w:bCs/>
        </w:rPr>
        <w:t>Clause 3</w:t>
      </w:r>
    </w:p>
    <w:p w14:paraId="19797C0A" w14:textId="23FCD176" w:rsidR="00212CB3" w:rsidRDefault="00186A28" w:rsidP="00B87889">
      <w:r>
        <w:t xml:space="preserve">Clause 3.6 removed </w:t>
      </w:r>
      <w:r w:rsidR="0049529C">
        <w:t>as referenced to individual sites needing regulatory approval are outdated</w:t>
      </w:r>
      <w:r w:rsidR="007A6DB6">
        <w:t>.</w:t>
      </w:r>
    </w:p>
    <w:p w14:paraId="60B2588C" w14:textId="34FC5AE2" w:rsidR="00E416FF" w:rsidRDefault="00E416FF" w:rsidP="00B87889">
      <w:r>
        <w:t>New optional clause 3.</w:t>
      </w:r>
      <w:r w:rsidR="00FC1DD8">
        <w:t>6</w:t>
      </w:r>
      <w:r>
        <w:t>.2 for use in dose escalation CTIMPs, introduced at the request of and drafted collaboratively with the MHRA GCP Inspectorate</w:t>
      </w:r>
      <w:r w:rsidR="007A6DB6">
        <w:t>.</w:t>
      </w:r>
    </w:p>
    <w:p w14:paraId="4CF408F2" w14:textId="5B9B82C7" w:rsidR="00FC7821" w:rsidRPr="00FC7821" w:rsidRDefault="00FC7821" w:rsidP="00B87889">
      <w:pPr>
        <w:rPr>
          <w:b/>
          <w:bCs/>
        </w:rPr>
      </w:pPr>
      <w:r w:rsidRPr="00FC7821">
        <w:rPr>
          <w:b/>
          <w:bCs/>
        </w:rPr>
        <w:t>Clause 4</w:t>
      </w:r>
    </w:p>
    <w:p w14:paraId="16046BDF" w14:textId="31BA0720" w:rsidR="00E416FF" w:rsidRDefault="007C0A71" w:rsidP="00B87889">
      <w:r>
        <w:t xml:space="preserve">Clause 4.2 (and as applicable throughout the template) </w:t>
      </w:r>
      <w:r w:rsidR="00B82AC9">
        <w:t xml:space="preserve">addition of reference to ‘potential clinical trial subjects’ added, to emphasise that the Parties responsibilities to respect principles of medical confidentiality and </w:t>
      </w:r>
      <w:r w:rsidR="00C75087">
        <w:t xml:space="preserve">data protection are not limited only to enrolled participants but extend to persons who may be screened, etc. but not </w:t>
      </w:r>
      <w:r w:rsidR="006F12BD">
        <w:t>then enrolled</w:t>
      </w:r>
      <w:r w:rsidR="007A6DB6">
        <w:t>.</w:t>
      </w:r>
    </w:p>
    <w:p w14:paraId="00BDC09A" w14:textId="77868420" w:rsidR="00BA7A90" w:rsidRDefault="00A624E3" w:rsidP="00B87889">
      <w:r>
        <w:t>Clause 4.6.1 ‘and as the case me be’ removed</w:t>
      </w:r>
      <w:r w:rsidR="00BA7A90">
        <w:t xml:space="preserve">, as the </w:t>
      </w:r>
      <w:proofErr w:type="spellStart"/>
      <w:r w:rsidR="00BA7A90">
        <w:t>mCTA</w:t>
      </w:r>
      <w:proofErr w:type="spellEnd"/>
      <w:r w:rsidR="00BA7A90">
        <w:t xml:space="preserve"> is intended for use only with CTIMPs</w:t>
      </w:r>
      <w:r w:rsidR="007A6DB6">
        <w:t>.</w:t>
      </w:r>
    </w:p>
    <w:p w14:paraId="47E25845" w14:textId="7E87C78B" w:rsidR="0077154A" w:rsidRDefault="0077154A" w:rsidP="00B87889">
      <w:r>
        <w:t xml:space="preserve">New optional clause 4.14 for use when the Agreement is being used as a </w:t>
      </w:r>
      <w:r w:rsidR="00FD7DCB">
        <w:t>H</w:t>
      </w:r>
      <w:r>
        <w:t xml:space="preserve">ead </w:t>
      </w:r>
      <w:r w:rsidR="00FD7DCB">
        <w:t>A</w:t>
      </w:r>
      <w:r>
        <w:t>greement, from which the Lead Trial Site may subcontract to Other Trial Sites</w:t>
      </w:r>
      <w:r w:rsidR="007A6DB6">
        <w:t>.</w:t>
      </w:r>
    </w:p>
    <w:p w14:paraId="49857AC3" w14:textId="39FF0C84" w:rsidR="001F1767" w:rsidRDefault="001F1767" w:rsidP="00B87889">
      <w:r>
        <w:lastRenderedPageBreak/>
        <w:t xml:space="preserve">Clause 4.15.4 modified to clarify that </w:t>
      </w:r>
      <w:r w:rsidR="00A805A6">
        <w:t>monitoring may take place via remote means</w:t>
      </w:r>
      <w:r w:rsidR="007A6DB6">
        <w:t>.</w:t>
      </w:r>
    </w:p>
    <w:p w14:paraId="0BF657F4" w14:textId="28B32AA7" w:rsidR="00FC7821" w:rsidRPr="00FC7821" w:rsidRDefault="00FC7821" w:rsidP="00B87889">
      <w:pPr>
        <w:rPr>
          <w:b/>
          <w:bCs/>
        </w:rPr>
      </w:pPr>
      <w:r w:rsidRPr="00FC7821">
        <w:rPr>
          <w:b/>
          <w:bCs/>
        </w:rPr>
        <w:t>Clause 11</w:t>
      </w:r>
    </w:p>
    <w:p w14:paraId="55AB92E8" w14:textId="5CA2E4DA" w:rsidR="00A805A6" w:rsidRDefault="00BE5F8D" w:rsidP="00B87889">
      <w:r>
        <w:t xml:space="preserve">New clause </w:t>
      </w:r>
      <w:r w:rsidR="00542938">
        <w:t xml:space="preserve">11.6 intended to provide additional assurance that Material will not be analysed </w:t>
      </w:r>
      <w:proofErr w:type="gramStart"/>
      <w:r w:rsidR="00202AF2">
        <w:t>so as to</w:t>
      </w:r>
      <w:proofErr w:type="gramEnd"/>
      <w:r w:rsidR="00202AF2">
        <w:t xml:space="preserve"> obtain privileged information relating to </w:t>
      </w:r>
      <w:r w:rsidR="0074583E">
        <w:t xml:space="preserve">IMP to which clinical trial subjects may have been exposed in other </w:t>
      </w:r>
      <w:r w:rsidR="00065AC9">
        <w:t>research studies</w:t>
      </w:r>
      <w:r w:rsidR="007A6DB6">
        <w:t>.</w:t>
      </w:r>
    </w:p>
    <w:p w14:paraId="24C5A9F3" w14:textId="76DC854A" w:rsidR="00FC7821" w:rsidRPr="00FC7821" w:rsidRDefault="00FC7821" w:rsidP="00B87889">
      <w:pPr>
        <w:rPr>
          <w:b/>
          <w:bCs/>
        </w:rPr>
      </w:pPr>
      <w:r w:rsidRPr="00FC7821">
        <w:rPr>
          <w:b/>
          <w:bCs/>
        </w:rPr>
        <w:t>Clause 16</w:t>
      </w:r>
    </w:p>
    <w:p w14:paraId="0DC09006" w14:textId="18B19348" w:rsidR="000576B7" w:rsidRDefault="000576B7" w:rsidP="00B87889">
      <w:r>
        <w:t>Clause 16.4 modified to allow there to be more than one Investigator Site contracted within the one Trial Site (</w:t>
      </w:r>
      <w:proofErr w:type="gramStart"/>
      <w:r>
        <w:t>i.e.</w:t>
      </w:r>
      <w:proofErr w:type="gramEnd"/>
      <w:r>
        <w:t xml:space="preserve"> for there to be multiple PIs for the study within the one NHS organisation) without the contract signed for the first PI being inadvertently superseded by contracts signed for subsequent PIs</w:t>
      </w:r>
      <w:r w:rsidR="007A6DB6">
        <w:t>.</w:t>
      </w:r>
    </w:p>
    <w:p w14:paraId="6056BF58" w14:textId="100A7F22" w:rsidR="00FC7821" w:rsidRPr="00FC7821" w:rsidRDefault="00FC7821" w:rsidP="00B87889">
      <w:pPr>
        <w:rPr>
          <w:b/>
          <w:bCs/>
        </w:rPr>
      </w:pPr>
      <w:r w:rsidRPr="00FC7821">
        <w:rPr>
          <w:b/>
          <w:bCs/>
        </w:rPr>
        <w:t>Appendices</w:t>
      </w:r>
    </w:p>
    <w:p w14:paraId="3A53C94B" w14:textId="0E35E523" w:rsidR="00DE02FF" w:rsidRDefault="00DE02FF" w:rsidP="00B87889">
      <w:r>
        <w:t>Appendix 4</w:t>
      </w:r>
      <w:r w:rsidR="00DA2814">
        <w:t xml:space="preserve"> – additional instruction added to the note</w:t>
      </w:r>
      <w:r w:rsidR="00B9689C">
        <w:t>.</w:t>
      </w:r>
    </w:p>
    <w:p w14:paraId="723704DE" w14:textId="034F2472" w:rsidR="00DA2814" w:rsidRDefault="00AD07D2" w:rsidP="00B87889">
      <w:r>
        <w:t xml:space="preserve">Appendix 7, clause 7.2 – note added to reiterate that </w:t>
      </w:r>
      <w:r w:rsidR="0009420E">
        <w:t xml:space="preserve">only alternative 1 may be selected for Trial Sites in England or Northern Ireland (where Master Indemnity </w:t>
      </w:r>
      <w:r w:rsidR="002A4DF9">
        <w:t>Agreement s</w:t>
      </w:r>
      <w:r w:rsidR="0009420E">
        <w:t>chemes do not operate to cover equipment used in research)</w:t>
      </w:r>
      <w:r w:rsidR="00B9689C">
        <w:t>.</w:t>
      </w:r>
    </w:p>
    <w:p w14:paraId="63E4BDF4" w14:textId="17115976" w:rsidR="006821B3" w:rsidRDefault="006821B3" w:rsidP="00B9689C">
      <w:pPr>
        <w:pStyle w:val="Heading3"/>
      </w:pPr>
      <w:bookmarkStart w:id="11" w:name="_Toc146538123"/>
      <w:r w:rsidRPr="0081098F">
        <w:t xml:space="preserve">Summary of Key </w:t>
      </w:r>
      <w:r w:rsidRPr="00DB2D00">
        <w:t>Changes</w:t>
      </w:r>
      <w:r w:rsidRPr="0081098F">
        <w:t xml:space="preserve"> in </w:t>
      </w:r>
      <w:r>
        <w:t>January</w:t>
      </w:r>
      <w:r w:rsidRPr="0081098F">
        <w:t xml:space="preserve"> 202</w:t>
      </w:r>
      <w:r>
        <w:t>1</w:t>
      </w:r>
      <w:bookmarkEnd w:id="11"/>
    </w:p>
    <w:p w14:paraId="5958235D" w14:textId="77777777" w:rsidR="006821B3" w:rsidRDefault="006821B3" w:rsidP="006821B3">
      <w:r>
        <w:t xml:space="preserve">Throughout, both </w:t>
      </w:r>
      <w:proofErr w:type="spellStart"/>
      <w:r>
        <w:t>mCTAs</w:t>
      </w:r>
      <w:proofErr w:type="spellEnd"/>
      <w:r>
        <w:t xml:space="preserve"> various minor modifications and errata corrections have been made which are not intended to modify the interpretation of the templates. In addition, the following changes have been made specifically to account for the end of the transition period following the UK exiting the EU:</w:t>
      </w:r>
    </w:p>
    <w:p w14:paraId="25518BF1" w14:textId="77777777" w:rsidR="006821B3" w:rsidRDefault="006821B3" w:rsidP="006821B3">
      <w:pPr>
        <w:pStyle w:val="Bullet"/>
      </w:pPr>
      <w:r w:rsidRPr="00DB2D00">
        <w:rPr>
          <w:b/>
          <w:bCs/>
        </w:rPr>
        <w:t>Recital F (CRO-</w:t>
      </w:r>
      <w:proofErr w:type="spellStart"/>
      <w:r w:rsidRPr="00DB2D00">
        <w:rPr>
          <w:b/>
          <w:bCs/>
        </w:rPr>
        <w:t>mCTA</w:t>
      </w:r>
      <w:proofErr w:type="spellEnd"/>
      <w:r w:rsidRPr="00DB2D00">
        <w:rPr>
          <w:b/>
          <w:bCs/>
        </w:rPr>
        <w:t xml:space="preserve"> Recital G)</w:t>
      </w:r>
      <w:r>
        <w:rPr>
          <w:b/>
          <w:bCs/>
        </w:rPr>
        <w:br/>
      </w:r>
      <w:r>
        <w:t xml:space="preserve">Amended to refer to the sponsor not being established in the </w:t>
      </w:r>
      <w:proofErr w:type="gramStart"/>
      <w:r>
        <w:t>UK</w:t>
      </w:r>
      <w:proofErr w:type="gramEnd"/>
      <w:r>
        <w:t xml:space="preserve"> or another country</w:t>
      </w:r>
      <w:r w:rsidRPr="00016FD8">
        <w:t xml:space="preserve"> listed under regulation 3 (11A) </w:t>
      </w:r>
      <w:r>
        <w:t xml:space="preserve">of </w:t>
      </w:r>
      <w:r w:rsidRPr="00016FD8">
        <w:t>The Medicines for Human Use (Clinical Trials) (Amendment) (EU Exit) Regulations 2019</w:t>
      </w:r>
      <w:r>
        <w:t>;</w:t>
      </w:r>
    </w:p>
    <w:p w14:paraId="44725845" w14:textId="77777777" w:rsidR="006821B3" w:rsidRDefault="006821B3" w:rsidP="006821B3">
      <w:pPr>
        <w:pStyle w:val="Bullet"/>
      </w:pPr>
      <w:r w:rsidRPr="00DB2D00">
        <w:rPr>
          <w:b/>
          <w:bCs/>
        </w:rPr>
        <w:t>Definition of Data Protection Laws and Guidance</w:t>
      </w:r>
      <w:r>
        <w:br/>
        <w:t xml:space="preserve">Amended to reference the UK GDPR and </w:t>
      </w:r>
      <w:r w:rsidRPr="00016FD8">
        <w:t xml:space="preserve">the requirements set out or referenced in Part Three, Title VII, Article 71(1) of the Withdrawal Agreement signed by the UK and the EU in December </w:t>
      </w:r>
      <w:proofErr w:type="gramStart"/>
      <w:r w:rsidRPr="00016FD8">
        <w:t>2019</w:t>
      </w:r>
      <w:r>
        <w:t>;</w:t>
      </w:r>
      <w:proofErr w:type="gramEnd"/>
    </w:p>
    <w:p w14:paraId="71B11FFC" w14:textId="77777777" w:rsidR="006821B3" w:rsidRDefault="006821B3" w:rsidP="006821B3">
      <w:pPr>
        <w:pStyle w:val="Bullet"/>
      </w:pPr>
      <w:r w:rsidRPr="00DB2D00">
        <w:rPr>
          <w:b/>
          <w:bCs/>
        </w:rPr>
        <w:t>Definition of GDPR</w:t>
      </w:r>
      <w:r>
        <w:br/>
        <w:t xml:space="preserve">New definition added for UK </w:t>
      </w:r>
      <w:proofErr w:type="gramStart"/>
      <w:r>
        <w:t>GDPR;</w:t>
      </w:r>
      <w:proofErr w:type="gramEnd"/>
    </w:p>
    <w:p w14:paraId="33250D58" w14:textId="77777777" w:rsidR="006821B3" w:rsidRDefault="006821B3" w:rsidP="006821B3">
      <w:pPr>
        <w:pStyle w:val="Bullet"/>
      </w:pPr>
      <w:r w:rsidRPr="00DB2D00">
        <w:rPr>
          <w:b/>
          <w:bCs/>
        </w:rPr>
        <w:t>Definition of GMP</w:t>
      </w:r>
      <w:r>
        <w:t xml:space="preserve"> </w:t>
      </w:r>
      <w:r>
        <w:br/>
        <w:t xml:space="preserve">Replacement of reference to “relevant European Union” regulations with reference to </w:t>
      </w:r>
      <w:r w:rsidRPr="00016FD8">
        <w:t>Schedule 2A</w:t>
      </w:r>
      <w:r>
        <w:t xml:space="preserve"> (and regulation</w:t>
      </w:r>
      <w:r w:rsidRPr="00016FD8">
        <w:t xml:space="preserve"> </w:t>
      </w:r>
      <w:r w:rsidRPr="00E03F58">
        <w:t>B17(1)</w:t>
      </w:r>
      <w:r>
        <w:t>, if and when applicable)</w:t>
      </w:r>
      <w:r w:rsidRPr="00016FD8">
        <w:t xml:space="preserve"> to </w:t>
      </w:r>
      <w:r>
        <w:t>T</w:t>
      </w:r>
      <w:r w:rsidRPr="00016FD8">
        <w:t>he Human Medicines Regulations 2012</w:t>
      </w:r>
      <w:r>
        <w:t xml:space="preserve"> (for England, Scotland and Northern Ireland) and to </w:t>
      </w:r>
      <w:r w:rsidRPr="00E03F58">
        <w:t>any applicable EU standard</w:t>
      </w:r>
      <w:r>
        <w:t xml:space="preserve"> (for Northern Ireland</w:t>
      </w:r>
      <w:proofErr w:type="gramStart"/>
      <w:r>
        <w:t>);</w:t>
      </w:r>
      <w:proofErr w:type="gramEnd"/>
    </w:p>
    <w:p w14:paraId="2F7DBA1E" w14:textId="77777777" w:rsidR="006821B3" w:rsidRDefault="006821B3" w:rsidP="006821B3">
      <w:pPr>
        <w:pStyle w:val="Bullet"/>
      </w:pPr>
      <w:r w:rsidRPr="00DB2D00">
        <w:rPr>
          <w:b/>
          <w:bCs/>
        </w:rPr>
        <w:t>Definition of GVP</w:t>
      </w:r>
      <w:r>
        <w:br/>
        <w:t>Replacement of reference to “relevant European Union” regulations with</w:t>
      </w:r>
      <w:r w:rsidRPr="00016FD8">
        <w:t xml:space="preserve"> </w:t>
      </w:r>
      <w:r>
        <w:t xml:space="preserve">reference to </w:t>
      </w:r>
      <w:r w:rsidRPr="00E03F58">
        <w:t xml:space="preserve">UK regulations or standards on good pharmacovigilance practices and in the case of Northern Ireland any applicable EU </w:t>
      </w:r>
      <w:proofErr w:type="gramStart"/>
      <w:r w:rsidRPr="00E03F58">
        <w:t>requirement</w:t>
      </w:r>
      <w:r>
        <w:t>;</w:t>
      </w:r>
      <w:proofErr w:type="gramEnd"/>
    </w:p>
    <w:p w14:paraId="0559DFE0" w14:textId="77777777" w:rsidR="006821B3" w:rsidRDefault="006821B3" w:rsidP="006821B3">
      <w:pPr>
        <w:pStyle w:val="Bullet"/>
      </w:pPr>
      <w:r w:rsidRPr="00DB2D00">
        <w:rPr>
          <w:b/>
          <w:bCs/>
        </w:rPr>
        <w:lastRenderedPageBreak/>
        <w:t>Definition of ICH-GCP</w:t>
      </w:r>
      <w:r>
        <w:br/>
        <w:t xml:space="preserve">Replacement of reference to </w:t>
      </w:r>
      <w:r w:rsidRPr="004B623D">
        <w:t>Directive 2001/20/EC</w:t>
      </w:r>
      <w:r>
        <w:t xml:space="preserve">, of the European Parliament, and related guidance with reference to </w:t>
      </w:r>
      <w:r w:rsidRPr="00E33A22">
        <w:t xml:space="preserve">such Good Clinical Practice requirements as may apply within the UK from time to time including the requirements of any regulations made under regulation 57 of </w:t>
      </w:r>
      <w:r>
        <w:t>T</w:t>
      </w:r>
      <w:r w:rsidRPr="00E33A22">
        <w:t>he Medicines for Human Use (Clinical Trials) Regulations 2004/1031 (as amended by The Medicines for Human Use (Clinical Trials) (Amendment) (EU Exit) Regulations 2019) and any relevant guidance issued under those Regulations and, in the case of Northern Ireland, any applicable EU requirement</w:t>
      </w:r>
      <w:r>
        <w:t>;</w:t>
      </w:r>
    </w:p>
    <w:p w14:paraId="63EE5915" w14:textId="77777777" w:rsidR="006821B3" w:rsidRDefault="006821B3" w:rsidP="006821B3">
      <w:pPr>
        <w:pStyle w:val="Bullet"/>
      </w:pPr>
      <w:r w:rsidRPr="004E7AE8">
        <w:rPr>
          <w:b/>
          <w:bCs/>
        </w:rPr>
        <w:t>Clause 3.2.1</w:t>
      </w:r>
      <w:r>
        <w:br/>
        <w:t xml:space="preserve">Removal of clause referencing laws of the </w:t>
      </w:r>
      <w:proofErr w:type="gramStart"/>
      <w:r>
        <w:t>EU;</w:t>
      </w:r>
      <w:proofErr w:type="gramEnd"/>
    </w:p>
    <w:p w14:paraId="49DC6A1F" w14:textId="77777777" w:rsidR="006821B3" w:rsidRDefault="006821B3" w:rsidP="006821B3">
      <w:pPr>
        <w:pStyle w:val="Bullet"/>
      </w:pPr>
      <w:r w:rsidRPr="004E7AE8">
        <w:rPr>
          <w:b/>
          <w:bCs/>
        </w:rPr>
        <w:t>Clauses 3.2.8 and 3.2.9</w:t>
      </w:r>
      <w:r>
        <w:br/>
        <w:t xml:space="preserve">New Clauses respectively referencing relevant law having effect by virtue of sections 2-4 of the European Union (Withdrawal) Act 2018 and (in Northern Ireland) laws of the European Union having effect as a result of the Protocol on Ireland/Northern </w:t>
      </w:r>
      <w:proofErr w:type="gramStart"/>
      <w:r>
        <w:t>Ireland;</w:t>
      </w:r>
      <w:proofErr w:type="gramEnd"/>
    </w:p>
    <w:p w14:paraId="27E00BE4" w14:textId="77777777" w:rsidR="006821B3" w:rsidRDefault="006821B3" w:rsidP="006821B3">
      <w:pPr>
        <w:pStyle w:val="Bullet"/>
      </w:pPr>
      <w:r w:rsidRPr="004E7AE8">
        <w:rPr>
          <w:b/>
          <w:bCs/>
        </w:rPr>
        <w:t>Clause 4.7.1</w:t>
      </w:r>
      <w:r>
        <w:br/>
        <w:t xml:space="preserve">Addition of reference to IMP marketing authorisation “within the relevant part of the UK” to reflect the position of Northern Ireland under the Protocol on Ireland/Northern </w:t>
      </w:r>
      <w:proofErr w:type="gramStart"/>
      <w:r>
        <w:t>Ireland;</w:t>
      </w:r>
      <w:proofErr w:type="gramEnd"/>
    </w:p>
    <w:p w14:paraId="5935017E" w14:textId="77777777" w:rsidR="006821B3" w:rsidRDefault="006821B3" w:rsidP="006821B3">
      <w:pPr>
        <w:pStyle w:val="Bullet"/>
      </w:pPr>
      <w:bookmarkStart w:id="12" w:name="_Hlk58925233"/>
      <w:r w:rsidRPr="004E7AE8">
        <w:rPr>
          <w:b/>
          <w:bCs/>
        </w:rPr>
        <w:t>Clause 6.2.9(b)</w:t>
      </w:r>
      <w:r>
        <w:br/>
        <w:t>Clause modified to refer to “UK and the EEA</w:t>
      </w:r>
      <w:proofErr w:type="gramStart"/>
      <w:r>
        <w:t>”;</w:t>
      </w:r>
      <w:proofErr w:type="gramEnd"/>
    </w:p>
    <w:bookmarkEnd w:id="12"/>
    <w:p w14:paraId="61872C8B" w14:textId="77777777" w:rsidR="006821B3" w:rsidRDefault="006821B3" w:rsidP="006821B3">
      <w:pPr>
        <w:pStyle w:val="Bullet"/>
        <w:spacing w:after="240"/>
      </w:pPr>
      <w:r w:rsidRPr="004E7AE8">
        <w:rPr>
          <w:b/>
          <w:bCs/>
        </w:rPr>
        <w:t>Clause 6.2.10</w:t>
      </w:r>
      <w:r>
        <w:br/>
        <w:t>Clause modified to refer to “UK and the EEA”.</w:t>
      </w:r>
    </w:p>
    <w:p w14:paraId="19C4AE4F" w14:textId="77777777" w:rsidR="006821B3" w:rsidRDefault="006821B3" w:rsidP="006821B3">
      <w:r>
        <w:t>In addition to the above, the following modifications have been made following consideration by the UK Four Nations Contracting Leads of comments and requests from stakeholders:</w:t>
      </w:r>
    </w:p>
    <w:p w14:paraId="295FD010" w14:textId="77777777" w:rsidR="006821B3" w:rsidRDefault="006821B3" w:rsidP="006821B3">
      <w:pPr>
        <w:pStyle w:val="Bullet"/>
      </w:pPr>
      <w:r w:rsidRPr="004E7AE8">
        <w:rPr>
          <w:b/>
          <w:bCs/>
        </w:rPr>
        <w:t>Definition of Agreement</w:t>
      </w:r>
      <w:r>
        <w:br/>
        <w:t xml:space="preserve">Amended to explicitly reference amendments to the </w:t>
      </w:r>
      <w:proofErr w:type="gramStart"/>
      <w:r>
        <w:t>Agreement;</w:t>
      </w:r>
      <w:proofErr w:type="gramEnd"/>
    </w:p>
    <w:p w14:paraId="5BBDB49A" w14:textId="77777777" w:rsidR="006821B3" w:rsidRDefault="006821B3" w:rsidP="006821B3">
      <w:pPr>
        <w:pStyle w:val="Bullet"/>
      </w:pPr>
      <w:r w:rsidRPr="004E7AE8">
        <w:rPr>
          <w:b/>
          <w:bCs/>
        </w:rPr>
        <w:t>Definition of Joint Position</w:t>
      </w:r>
      <w:r>
        <w:br/>
        <w:t xml:space="preserve">Reference updated to latest published </w:t>
      </w:r>
      <w:proofErr w:type="gramStart"/>
      <w:r>
        <w:t>version;</w:t>
      </w:r>
      <w:proofErr w:type="gramEnd"/>
    </w:p>
    <w:p w14:paraId="17C65A07" w14:textId="77777777" w:rsidR="006821B3" w:rsidRDefault="006821B3" w:rsidP="006821B3">
      <w:pPr>
        <w:pStyle w:val="Bullet"/>
      </w:pPr>
      <w:r w:rsidRPr="004E7AE8">
        <w:rPr>
          <w:b/>
          <w:bCs/>
        </w:rPr>
        <w:t>Clause 2.7</w:t>
      </w:r>
      <w:r>
        <w:br/>
        <w:t xml:space="preserve">New Clause added to further clarify the responsibilities of the Participating Organisation for the appropriate appointment of </w:t>
      </w:r>
      <w:proofErr w:type="gramStart"/>
      <w:r>
        <w:t>Personnel;</w:t>
      </w:r>
      <w:proofErr w:type="gramEnd"/>
    </w:p>
    <w:p w14:paraId="2F788F78" w14:textId="77777777" w:rsidR="006821B3" w:rsidRDefault="006821B3" w:rsidP="006821B3">
      <w:pPr>
        <w:pStyle w:val="Bullet"/>
      </w:pPr>
      <w:r w:rsidRPr="004E7AE8">
        <w:rPr>
          <w:b/>
          <w:bCs/>
        </w:rPr>
        <w:t>Clause 3.7.1</w:t>
      </w:r>
      <w:r>
        <w:br/>
        <w:t xml:space="preserve">The Clause has been made optional, for inclusion only in agreements for Phase I clinical trials in NHS patients. The definition of SUSAR has been removed from the main definitions section and defined at its single occurrence, at </w:t>
      </w:r>
      <w:proofErr w:type="gramStart"/>
      <w:r>
        <w:t>3.7.1(a);</w:t>
      </w:r>
      <w:proofErr w:type="gramEnd"/>
    </w:p>
    <w:p w14:paraId="3F24A8AA" w14:textId="77777777" w:rsidR="006821B3" w:rsidRDefault="006821B3" w:rsidP="006821B3">
      <w:pPr>
        <w:pStyle w:val="Bullet"/>
      </w:pPr>
      <w:r w:rsidRPr="004E7AE8">
        <w:rPr>
          <w:b/>
          <w:bCs/>
        </w:rPr>
        <w:t>Clause 6.1.2</w:t>
      </w:r>
      <w:r>
        <w:br/>
        <w:t xml:space="preserve">Clause modified to clarify that the responsibility is for one Controller to notify the other Controller of any data breach only when the breach is of data of which both parties are at that time separate Controllers. For example, the Clause obliges the Participating Organisation to notify the Sponsor of a breach </w:t>
      </w:r>
      <w:r>
        <w:lastRenderedPageBreak/>
        <w:t xml:space="preserve">of medical records which contain data processed for the purpose of the Clinical Trial, as both Participating Organisation and Sponsor are separate Controllers of this data. It does not oblige the Sponsor to notify the Participating Organisation of breaches that may occur to data for which the Participating Organisation is no longer a </w:t>
      </w:r>
      <w:proofErr w:type="gramStart"/>
      <w:r>
        <w:t>Controller;</w:t>
      </w:r>
      <w:proofErr w:type="gramEnd"/>
    </w:p>
    <w:p w14:paraId="7C6752D4" w14:textId="77777777" w:rsidR="006821B3" w:rsidRDefault="006821B3" w:rsidP="006821B3">
      <w:pPr>
        <w:pStyle w:val="Bullet"/>
      </w:pPr>
      <w:r w:rsidRPr="004E7AE8">
        <w:rPr>
          <w:b/>
          <w:bCs/>
        </w:rPr>
        <w:t>Clause 6.2.4</w:t>
      </w:r>
      <w:r>
        <w:br/>
        <w:t xml:space="preserve">Clause modified to clarify responsibility of the Participating Organisation to notify the Controller of processing undertaken other than in accordance with the Sponsor instructions, BEFORE undertaking such processing, unless prohibited from doing so, but to emphasise that notification should take place after the processing as soon as possible after such prohibition is lifted, if it is </w:t>
      </w:r>
      <w:proofErr w:type="gramStart"/>
      <w:r>
        <w:t>lifted;</w:t>
      </w:r>
      <w:proofErr w:type="gramEnd"/>
    </w:p>
    <w:p w14:paraId="22E17D63" w14:textId="77777777" w:rsidR="006821B3" w:rsidRDefault="006821B3" w:rsidP="006821B3">
      <w:pPr>
        <w:pStyle w:val="Bullet"/>
      </w:pPr>
      <w:r w:rsidRPr="004E7AE8">
        <w:rPr>
          <w:b/>
          <w:bCs/>
        </w:rPr>
        <w:t>Clause 6.2.6</w:t>
      </w:r>
      <w:r>
        <w:br/>
        <w:t xml:space="preserve">Clause modified to allow the Sponsor/CRO to propose a duration other than five (5) business days in this optional part of the </w:t>
      </w:r>
      <w:proofErr w:type="gramStart"/>
      <w:r>
        <w:t>Clause;</w:t>
      </w:r>
      <w:proofErr w:type="gramEnd"/>
    </w:p>
    <w:p w14:paraId="3F9407DF" w14:textId="77777777" w:rsidR="006821B3" w:rsidRDefault="006821B3" w:rsidP="006821B3">
      <w:pPr>
        <w:pStyle w:val="Bullet"/>
      </w:pPr>
      <w:r w:rsidRPr="004E7AE8">
        <w:rPr>
          <w:b/>
          <w:bCs/>
        </w:rPr>
        <w:t>Clause 6.3.6</w:t>
      </w:r>
      <w:r>
        <w:br/>
        <w:t xml:space="preserve">Clause modified to clarify that it is the responsibility of the Sponsor (and CRO) </w:t>
      </w:r>
      <w:r w:rsidRPr="004E7AE8">
        <w:rPr>
          <w:b/>
          <w:bCs/>
        </w:rPr>
        <w:t>TO TAKE REASONABLE STEPS</w:t>
      </w:r>
      <w:r>
        <w:t xml:space="preserve"> to proactively prevent Personal Data </w:t>
      </w:r>
      <w:proofErr w:type="gramStart"/>
      <w:r>
        <w:t>Breaches;</w:t>
      </w:r>
      <w:proofErr w:type="gramEnd"/>
    </w:p>
    <w:p w14:paraId="2CFEC5BD" w14:textId="77777777" w:rsidR="006821B3" w:rsidRDefault="006821B3" w:rsidP="006821B3">
      <w:pPr>
        <w:pStyle w:val="Bullet"/>
      </w:pPr>
      <w:r w:rsidRPr="004E7AE8">
        <w:rPr>
          <w:b/>
          <w:bCs/>
        </w:rPr>
        <w:t>Clause 7.2</w:t>
      </w:r>
      <w:r>
        <w:br/>
        <w:t xml:space="preserve">Scope of Clause broadened to apply not only to information that belongs to the Sponsor (CRO) or Affiliate but also to any information that relates to the agreement, to clarify that the Clause would apply to information not owned by the Sponsor but, for example, provided to the Sponsor by a Non-Affiliate third </w:t>
      </w:r>
      <w:proofErr w:type="gramStart"/>
      <w:r>
        <w:t>party;</w:t>
      </w:r>
      <w:proofErr w:type="gramEnd"/>
    </w:p>
    <w:p w14:paraId="44F4A153" w14:textId="77777777" w:rsidR="006821B3" w:rsidRDefault="006821B3" w:rsidP="006821B3">
      <w:pPr>
        <w:pStyle w:val="Bullet"/>
      </w:pPr>
      <w:r w:rsidRPr="004E7AE8">
        <w:rPr>
          <w:b/>
          <w:bCs/>
        </w:rPr>
        <w:t>Clause 8</w:t>
      </w:r>
      <w:r>
        <w:br/>
        <w:t xml:space="preserve">Scope of Clause broadened again to clarify applicability to information provided by or on behalf of Affiliates or related </w:t>
      </w:r>
      <w:proofErr w:type="gramStart"/>
      <w:r>
        <w:t>persons;</w:t>
      </w:r>
      <w:proofErr w:type="gramEnd"/>
    </w:p>
    <w:p w14:paraId="77DDD9CC" w14:textId="77777777" w:rsidR="006821B3" w:rsidRDefault="006821B3" w:rsidP="006821B3">
      <w:pPr>
        <w:pStyle w:val="Bullet"/>
      </w:pPr>
      <w:r w:rsidRPr="004E7AE8">
        <w:rPr>
          <w:b/>
          <w:bCs/>
        </w:rPr>
        <w:t>Clause 10.4.1</w:t>
      </w:r>
      <w:r>
        <w:rPr>
          <w:b/>
          <w:bCs/>
        </w:rPr>
        <w:br/>
      </w:r>
      <w:r>
        <w:t xml:space="preserve">Clause modified to be explicitly more permissive for the Sponsor (CRO) in determining parties with whom it may share data to present or publish, in line with transparency </w:t>
      </w:r>
      <w:proofErr w:type="gramStart"/>
      <w:r>
        <w:t>expectations;</w:t>
      </w:r>
      <w:proofErr w:type="gramEnd"/>
    </w:p>
    <w:p w14:paraId="14F94F7D" w14:textId="77777777" w:rsidR="006821B3" w:rsidRDefault="006821B3" w:rsidP="006821B3">
      <w:pPr>
        <w:pStyle w:val="Bullet"/>
      </w:pPr>
      <w:r w:rsidRPr="004E7AE8">
        <w:rPr>
          <w:b/>
          <w:bCs/>
        </w:rPr>
        <w:t>Clause 10.7</w:t>
      </w:r>
      <w:r>
        <w:br/>
        <w:t xml:space="preserve">Clause modified so that it is not restricted to only the Sponsor protecting its proprietary information, thereby enabling the Clause to apply to circumstances when the Sponsor has brought the proprietary information of third parties to the clinical </w:t>
      </w:r>
      <w:proofErr w:type="gramStart"/>
      <w:r>
        <w:t>trial;</w:t>
      </w:r>
      <w:proofErr w:type="gramEnd"/>
    </w:p>
    <w:p w14:paraId="3B6B22EF" w14:textId="77777777" w:rsidR="006821B3" w:rsidRDefault="006821B3" w:rsidP="006821B3">
      <w:pPr>
        <w:pStyle w:val="Bullet"/>
      </w:pPr>
      <w:r w:rsidRPr="004E7AE8">
        <w:rPr>
          <w:b/>
          <w:bCs/>
        </w:rPr>
        <w:t>Clause 15.2</w:t>
      </w:r>
      <w:r>
        <w:br/>
        <w:t xml:space="preserve">Modified to allow for the Sponsor (or CRO) to assign the Agreement, without prior consent, to a successor entity by virtue of merger, consolidation, sale, etc. whilst placing an obligation on the Sponsor (or CRO) to notify the participating organisation of such assignment/assignation in good time in </w:t>
      </w:r>
      <w:proofErr w:type="gramStart"/>
      <w:r>
        <w:t>writing;</w:t>
      </w:r>
      <w:proofErr w:type="gramEnd"/>
    </w:p>
    <w:p w14:paraId="18281154" w14:textId="77777777" w:rsidR="006821B3" w:rsidRDefault="006821B3" w:rsidP="006821B3">
      <w:pPr>
        <w:pStyle w:val="Bullet"/>
      </w:pPr>
      <w:r w:rsidRPr="004E7AE8">
        <w:rPr>
          <w:b/>
          <w:bCs/>
        </w:rPr>
        <w:t>Clause 16.3.2</w:t>
      </w:r>
      <w:r>
        <w:br/>
        <w:t xml:space="preserve">Days, within which the participating organisation shall communicate with the Sponsor as to the impact of any proposed amendment, reduced to fourteen </w:t>
      </w:r>
      <w:r>
        <w:lastRenderedPageBreak/>
        <w:t>(14), to better align with the expectation that amendments are implemented no later than thirty-five (35) days after notification (although it should be noted that it is expected that amendment implementation is not delayed by contract negotiation, which should continue in good faith parallel and subsequent to amendment implementation);</w:t>
      </w:r>
    </w:p>
    <w:p w14:paraId="542D8993" w14:textId="77777777" w:rsidR="006821B3" w:rsidRDefault="006821B3" w:rsidP="006821B3">
      <w:pPr>
        <w:pStyle w:val="Bullet"/>
      </w:pPr>
      <w:r w:rsidRPr="004E7AE8">
        <w:rPr>
          <w:b/>
          <w:bCs/>
        </w:rPr>
        <w:t>Appendix 6, Section 4.3</w:t>
      </w:r>
      <w:r>
        <w:br/>
        <w:t xml:space="preserve">Clarification made such that research ethics committee (REC) approval is needed only for use in research that itself requires a REC </w:t>
      </w:r>
      <w:proofErr w:type="gramStart"/>
      <w:r>
        <w:t>opinion;</w:t>
      </w:r>
      <w:proofErr w:type="gramEnd"/>
    </w:p>
    <w:p w14:paraId="72039FDF" w14:textId="77777777" w:rsidR="006821B3" w:rsidRDefault="006821B3" w:rsidP="006821B3">
      <w:pPr>
        <w:pStyle w:val="Bullet"/>
      </w:pPr>
      <w:r w:rsidRPr="004E7AE8">
        <w:rPr>
          <w:b/>
          <w:bCs/>
        </w:rPr>
        <w:t>Appendix 7</w:t>
      </w:r>
      <w:r>
        <w:br/>
        <w:t xml:space="preserve">Modified to allow for applicable sections to be selected and enacted by </w:t>
      </w:r>
      <w:proofErr w:type="gramStart"/>
      <w:r>
        <w:t>check-box</w:t>
      </w:r>
      <w:proofErr w:type="gramEnd"/>
      <w:r>
        <w:t>.</w:t>
      </w:r>
    </w:p>
    <w:p w14:paraId="32BF8AF0" w14:textId="77777777" w:rsidR="006821B3" w:rsidRPr="005832FA" w:rsidRDefault="006821B3" w:rsidP="0021051B"/>
    <w:sectPr w:rsidR="006821B3" w:rsidRPr="005832FA" w:rsidSect="000E3576">
      <w:headerReference w:type="default" r:id="rId27"/>
      <w:footerReference w:type="default" r:id="rId28"/>
      <w:pgSz w:w="11906" w:h="16838"/>
      <w:pgMar w:top="1247" w:right="1134" w:bottom="1134" w:left="1474"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D87E0" w14:textId="77777777" w:rsidR="009C28E9" w:rsidRDefault="009C28E9" w:rsidP="00364C90">
      <w:pPr>
        <w:spacing w:after="0"/>
      </w:pPr>
      <w:r>
        <w:separator/>
      </w:r>
    </w:p>
  </w:endnote>
  <w:endnote w:type="continuationSeparator" w:id="0">
    <w:p w14:paraId="0771E13E" w14:textId="77777777" w:rsidR="009C28E9" w:rsidRDefault="009C28E9" w:rsidP="00364C90">
      <w:pPr>
        <w:spacing w:after="0"/>
      </w:pPr>
      <w:r>
        <w:continuationSeparator/>
      </w:r>
    </w:p>
  </w:endnote>
  <w:endnote w:type="continuationNotice" w:id="1">
    <w:p w14:paraId="7E679623" w14:textId="77777777" w:rsidR="009C28E9" w:rsidRDefault="009C28E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612E2" w14:textId="77777777" w:rsidR="00C81818" w:rsidRDefault="00C81818" w:rsidP="007C1840">
    <w:pPr>
      <w:pBdr>
        <w:top w:val="single" w:sz="4" w:space="1" w:color="auto"/>
      </w:pBdr>
      <w:tabs>
        <w:tab w:val="right" w:pos="9214"/>
      </w:tabs>
      <w:spacing w:after="0"/>
      <w:rPr>
        <w:sz w:val="20"/>
        <w:szCs w:val="20"/>
        <w:highlight w:val="yellow"/>
      </w:rPr>
    </w:pPr>
  </w:p>
  <w:p w14:paraId="5B49DF84" w14:textId="5367E99E" w:rsidR="00C81818" w:rsidRPr="00153ADD" w:rsidRDefault="00C81818" w:rsidP="007C1840">
    <w:pPr>
      <w:tabs>
        <w:tab w:val="right" w:pos="9356"/>
      </w:tabs>
      <w:spacing w:after="0"/>
      <w:jc w:val="right"/>
      <w:rPr>
        <w:sz w:val="22"/>
      </w:rPr>
    </w:pPr>
    <w:r w:rsidRPr="008D70D2">
      <w:rPr>
        <w:sz w:val="22"/>
      </w:rPr>
      <w:fldChar w:fldCharType="begin"/>
    </w:r>
    <w:r w:rsidRPr="008D70D2">
      <w:rPr>
        <w:sz w:val="22"/>
      </w:rPr>
      <w:instrText xml:space="preserve"> PAGE   \* MERGEFORMAT </w:instrText>
    </w:r>
    <w:r w:rsidRPr="008D70D2">
      <w:rPr>
        <w:sz w:val="22"/>
      </w:rPr>
      <w:fldChar w:fldCharType="separate"/>
    </w:r>
    <w:r>
      <w:t>2</w:t>
    </w:r>
    <w:r w:rsidRPr="008D70D2">
      <w:rPr>
        <w:b/>
        <w:bCs/>
        <w:noProof/>
        <w:sz w:val="22"/>
      </w:rPr>
      <w:fldChar w:fldCharType="end"/>
    </w:r>
    <w:r w:rsidRPr="008D70D2">
      <w:rPr>
        <w:b/>
        <w:bCs/>
        <w:sz w:val="22"/>
      </w:rPr>
      <w:t xml:space="preserve"> </w:t>
    </w:r>
    <w:r w:rsidRPr="008D70D2">
      <w:rPr>
        <w:sz w:val="22"/>
      </w:rPr>
      <w:t>|</w:t>
    </w:r>
    <w:r w:rsidRPr="008D70D2">
      <w:rPr>
        <w:b/>
        <w:bCs/>
        <w:sz w:val="22"/>
      </w:rPr>
      <w:t xml:space="preserve"> </w:t>
    </w:r>
    <w:r w:rsidRPr="00892408">
      <w:rPr>
        <w:color w:val="auto"/>
        <w:spacing w:val="60"/>
        <w:sz w:val="22"/>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BC881" w14:textId="77777777" w:rsidR="009C28E9" w:rsidRDefault="009C28E9" w:rsidP="00364C90">
      <w:pPr>
        <w:spacing w:after="0"/>
      </w:pPr>
      <w:r>
        <w:separator/>
      </w:r>
    </w:p>
  </w:footnote>
  <w:footnote w:type="continuationSeparator" w:id="0">
    <w:p w14:paraId="686080AC" w14:textId="77777777" w:rsidR="009C28E9" w:rsidRDefault="009C28E9" w:rsidP="00364C90">
      <w:pPr>
        <w:spacing w:after="0"/>
      </w:pPr>
      <w:r>
        <w:continuationSeparator/>
      </w:r>
    </w:p>
  </w:footnote>
  <w:footnote w:type="continuationNotice" w:id="1">
    <w:p w14:paraId="672E55ED" w14:textId="77777777" w:rsidR="009C28E9" w:rsidRDefault="009C28E9">
      <w:pPr>
        <w:spacing w:after="0"/>
      </w:pPr>
    </w:p>
  </w:footnote>
  <w:footnote w:id="2">
    <w:p w14:paraId="450776A6" w14:textId="77777777" w:rsidR="00BA1C46" w:rsidRPr="0087546D" w:rsidRDefault="00BA1C46" w:rsidP="00BA1C46">
      <w:pPr>
        <w:pStyle w:val="FootnoteText"/>
        <w:rPr>
          <w:sz w:val="18"/>
          <w:szCs w:val="18"/>
        </w:rPr>
      </w:pPr>
      <w:r w:rsidRPr="0087546D">
        <w:rPr>
          <w:rStyle w:val="FootnoteReference"/>
          <w:sz w:val="18"/>
          <w:szCs w:val="18"/>
        </w:rPr>
        <w:footnoteRef/>
      </w:r>
      <w:r w:rsidRPr="0087546D">
        <w:rPr>
          <w:sz w:val="18"/>
          <w:szCs w:val="18"/>
        </w:rPr>
        <w:t xml:space="preserve"> Throughout, references to NHS should be read to include reference</w:t>
      </w:r>
      <w:r>
        <w:rPr>
          <w:sz w:val="18"/>
          <w:szCs w:val="18"/>
        </w:rPr>
        <w:t>s</w:t>
      </w:r>
      <w:r w:rsidRPr="0087546D">
        <w:rPr>
          <w:sz w:val="18"/>
          <w:szCs w:val="18"/>
        </w:rPr>
        <w:t xml:space="preserve"> to Health and Social Care (HSC) in Northern Ireland</w:t>
      </w:r>
    </w:p>
  </w:footnote>
  <w:footnote w:id="3">
    <w:p w14:paraId="18668FC2" w14:textId="2749E898" w:rsidR="00BA7268" w:rsidRPr="009A64E5" w:rsidRDefault="00EB563C">
      <w:pPr>
        <w:pStyle w:val="FootnoteText"/>
        <w:rPr>
          <w:sz w:val="18"/>
          <w:szCs w:val="18"/>
        </w:rPr>
      </w:pPr>
      <w:r>
        <w:rPr>
          <w:rStyle w:val="FootnoteReference"/>
          <w:sz w:val="18"/>
          <w:szCs w:val="18"/>
        </w:rPr>
        <w:t>2</w:t>
      </w:r>
      <w:r w:rsidRPr="009A64E5">
        <w:rPr>
          <w:sz w:val="18"/>
          <w:szCs w:val="18"/>
        </w:rPr>
        <w:t xml:space="preserve"> </w:t>
      </w:r>
      <w:r w:rsidR="00BA7268" w:rsidRPr="009A64E5">
        <w:rPr>
          <w:sz w:val="18"/>
          <w:szCs w:val="18"/>
        </w:rPr>
        <w:t xml:space="preserve">The </w:t>
      </w:r>
      <w:proofErr w:type="spellStart"/>
      <w:r w:rsidR="00BA7268" w:rsidRPr="009A64E5">
        <w:rPr>
          <w:sz w:val="18"/>
          <w:szCs w:val="18"/>
        </w:rPr>
        <w:t>mCTAs</w:t>
      </w:r>
      <w:proofErr w:type="spellEnd"/>
      <w:r w:rsidR="00BA7268" w:rsidRPr="009A64E5">
        <w:rPr>
          <w:sz w:val="18"/>
          <w:szCs w:val="18"/>
        </w:rPr>
        <w:t xml:space="preserve"> are intended for use in NHS organisations, not with independent contractors of primary </w:t>
      </w:r>
      <w:r w:rsidR="009A64E5" w:rsidRPr="009A64E5">
        <w:rPr>
          <w:sz w:val="18"/>
          <w:szCs w:val="18"/>
        </w:rPr>
        <w:t xml:space="preserve">care NHS commissioned services.  Primary Care </w:t>
      </w:r>
      <w:proofErr w:type="spellStart"/>
      <w:r w:rsidR="009A64E5" w:rsidRPr="009A64E5">
        <w:rPr>
          <w:sz w:val="18"/>
          <w:szCs w:val="18"/>
        </w:rPr>
        <w:t>mCTA</w:t>
      </w:r>
      <w:proofErr w:type="spellEnd"/>
      <w:r w:rsidR="009A64E5" w:rsidRPr="009A64E5">
        <w:rPr>
          <w:sz w:val="18"/>
          <w:szCs w:val="18"/>
        </w:rPr>
        <w:t xml:space="preserve"> is provided for such circumstances.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DB0D6" w14:textId="0F236224" w:rsidR="00C81818" w:rsidRDefault="00C81818" w:rsidP="007C1840">
    <w:pPr>
      <w:pStyle w:val="Header"/>
      <w:spacing w:after="120"/>
      <w:rPr>
        <w:sz w:val="18"/>
        <w:szCs w:val="18"/>
      </w:rPr>
    </w:pPr>
    <w:r>
      <w:rPr>
        <w:sz w:val="18"/>
        <w:szCs w:val="18"/>
      </w:rPr>
      <w:t>Model Clinical Trial Agreement (</w:t>
    </w:r>
    <w:proofErr w:type="spellStart"/>
    <w:r>
      <w:rPr>
        <w:sz w:val="18"/>
        <w:szCs w:val="18"/>
      </w:rPr>
      <w:t>mCTA</w:t>
    </w:r>
    <w:proofErr w:type="spellEnd"/>
    <w:r>
      <w:rPr>
        <w:sz w:val="18"/>
        <w:szCs w:val="18"/>
      </w:rPr>
      <w:t xml:space="preserve">) and Clinical Research Organisation </w:t>
    </w:r>
    <w:r w:rsidRPr="00041CB3">
      <w:rPr>
        <w:sz w:val="18"/>
        <w:szCs w:val="18"/>
      </w:rPr>
      <w:t xml:space="preserve">Model Clinical Trial Agreement </w:t>
    </w:r>
    <w:r>
      <w:rPr>
        <w:sz w:val="18"/>
        <w:szCs w:val="18"/>
      </w:rPr>
      <w:t>(CRO-</w:t>
    </w:r>
    <w:proofErr w:type="spellStart"/>
    <w:r>
      <w:rPr>
        <w:sz w:val="18"/>
        <w:szCs w:val="18"/>
      </w:rPr>
      <w:t>mCTA</w:t>
    </w:r>
    <w:proofErr w:type="spellEnd"/>
    <w:r>
      <w:rPr>
        <w:sz w:val="18"/>
        <w:szCs w:val="18"/>
      </w:rPr>
      <w:t xml:space="preserve">) </w:t>
    </w:r>
    <w:r w:rsidRPr="00041CB3">
      <w:rPr>
        <w:sz w:val="18"/>
        <w:szCs w:val="18"/>
      </w:rPr>
      <w:t>(</w:t>
    </w:r>
    <w:r w:rsidR="00E34677">
      <w:rPr>
        <w:sz w:val="18"/>
        <w:szCs w:val="18"/>
      </w:rPr>
      <w:t>October 2023</w:t>
    </w:r>
    <w:r w:rsidRPr="00041CB3">
      <w:rPr>
        <w:sz w:val="18"/>
        <w:szCs w:val="18"/>
      </w:rPr>
      <w:t>)</w:t>
    </w:r>
    <w:r>
      <w:rPr>
        <w:sz w:val="18"/>
        <w:szCs w:val="18"/>
      </w:rPr>
      <w:t xml:space="preserve"> – </w:t>
    </w:r>
    <w:r w:rsidRPr="00041CB3">
      <w:rPr>
        <w:sz w:val="18"/>
        <w:szCs w:val="18"/>
      </w:rPr>
      <w:t>Guidance (</w:t>
    </w:r>
    <w:r w:rsidR="00E34677">
      <w:rPr>
        <w:sz w:val="18"/>
        <w:szCs w:val="18"/>
      </w:rPr>
      <w:t>October 2023</w:t>
    </w:r>
    <w:r w:rsidRPr="00041CB3">
      <w:rPr>
        <w:sz w:val="18"/>
        <w:szCs w:val="18"/>
      </w:rPr>
      <w:t>)</w:t>
    </w:r>
  </w:p>
  <w:p w14:paraId="3FB37B3F" w14:textId="77777777" w:rsidR="00C81818" w:rsidRDefault="00C81818" w:rsidP="007C1840">
    <w:pPr>
      <w:pBdr>
        <w:top w:val="single" w:sz="6" w:space="1" w:color="auto"/>
      </w:pBd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145"/>
    <w:multiLevelType w:val="hybridMultilevel"/>
    <w:tmpl w:val="0F7097E8"/>
    <w:lvl w:ilvl="0" w:tplc="205A7CC4">
      <w:start w:val="1"/>
      <w:numFmt w:val="lowerRoman"/>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00307103"/>
    <w:multiLevelType w:val="hybridMultilevel"/>
    <w:tmpl w:val="F13E9FE0"/>
    <w:lvl w:ilvl="0" w:tplc="0562E402">
      <w:start w:val="1"/>
      <w:numFmt w:val="bullet"/>
      <w:pStyle w:val="ListParagraph"/>
      <w:lvlText w:val=""/>
      <w:lvlJc w:val="left"/>
      <w:pPr>
        <w:ind w:left="1440" w:hanging="360"/>
      </w:pPr>
      <w:rPr>
        <w:rFonts w:ascii="Symbol" w:hAnsi="Symbol" w:hint="default"/>
        <w:color w:val="auto"/>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B30957"/>
    <w:multiLevelType w:val="multilevel"/>
    <w:tmpl w:val="457295E4"/>
    <w:lvl w:ilvl="0">
      <w:start w:val="1"/>
      <w:numFmt w:val="decimal"/>
      <w:pStyle w:val="Heading2"/>
      <w:lvlText w:val="%1."/>
      <w:lvlJc w:val="left"/>
      <w:pPr>
        <w:ind w:left="567" w:hanging="567"/>
      </w:pPr>
      <w:rPr>
        <w:rFonts w:hint="default"/>
      </w:rPr>
    </w:lvl>
    <w:lvl w:ilvl="1">
      <w:start w:val="1"/>
      <w:numFmt w:val="decimal"/>
      <w:pStyle w:val="Clauselevel1"/>
      <w:lvlText w:val="%1.%2"/>
      <w:lvlJc w:val="left"/>
      <w:pPr>
        <w:ind w:left="567" w:hanging="567"/>
      </w:pPr>
      <w:rPr>
        <w:rFonts w:hint="default"/>
        <w:b w:val="0"/>
        <w:bCs w:val="0"/>
      </w:rPr>
    </w:lvl>
    <w:lvl w:ilvl="2">
      <w:start w:val="1"/>
      <w:numFmt w:val="decimal"/>
      <w:pStyle w:val="Sub-clauselevel2"/>
      <w:lvlText w:val="%1.%2.%3"/>
      <w:lvlJc w:val="left"/>
      <w:pPr>
        <w:ind w:left="1135" w:hanging="56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 w15:restartNumberingAfterBreak="0">
    <w:nsid w:val="0EB44C1A"/>
    <w:multiLevelType w:val="hybridMultilevel"/>
    <w:tmpl w:val="9EC0956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1233E6"/>
    <w:multiLevelType w:val="multilevel"/>
    <w:tmpl w:val="C4662FDA"/>
    <w:styleLink w:val="Headings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9214135"/>
    <w:multiLevelType w:val="hybridMultilevel"/>
    <w:tmpl w:val="F4F0547A"/>
    <w:lvl w:ilvl="0" w:tplc="4452614E">
      <w:start w:val="1"/>
      <w:numFmt w:val="decimal"/>
      <w:pStyle w:val="Normalnos"/>
      <w:lvlText w:val="2.%1"/>
      <w:lvlJc w:val="left"/>
      <w:pPr>
        <w:ind w:left="1287" w:hanging="360"/>
      </w:pPr>
      <w:rPr>
        <w:rFonts w:hint="default"/>
        <w:b w:val="0"/>
        <w:bCs/>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1EAA1E75"/>
    <w:multiLevelType w:val="multilevel"/>
    <w:tmpl w:val="3D820B76"/>
    <w:styleLink w:val="Number-level1"/>
    <w:lvl w:ilvl="0">
      <w:start w:val="1"/>
      <w:numFmt w:val="decimal"/>
      <w:lvlText w:val="%1."/>
      <w:lvlJc w:val="left"/>
      <w:pPr>
        <w:ind w:left="567" w:hanging="567"/>
      </w:pPr>
      <w:rPr>
        <w:rFonts w:hint="default"/>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6793004"/>
    <w:multiLevelType w:val="hybridMultilevel"/>
    <w:tmpl w:val="9516D88A"/>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8" w15:restartNumberingAfterBreak="0">
    <w:nsid w:val="2EEB24F0"/>
    <w:multiLevelType w:val="hybridMultilevel"/>
    <w:tmpl w:val="7F3A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E9233C"/>
    <w:multiLevelType w:val="hybridMultilevel"/>
    <w:tmpl w:val="80F8414A"/>
    <w:lvl w:ilvl="0" w:tplc="3CA85BE0">
      <w:start w:val="1"/>
      <w:numFmt w:val="lowerLetter"/>
      <w:pStyle w:val="Sub-clauselevel3"/>
      <w:lvlText w:val="%1."/>
      <w:lvlJc w:val="left"/>
      <w:pPr>
        <w:ind w:left="1644" w:hanging="360"/>
      </w:pPr>
    </w:lvl>
    <w:lvl w:ilvl="1" w:tplc="08090019" w:tentative="1">
      <w:start w:val="1"/>
      <w:numFmt w:val="lowerLetter"/>
      <w:lvlText w:val="%2."/>
      <w:lvlJc w:val="left"/>
      <w:pPr>
        <w:ind w:left="2364" w:hanging="360"/>
      </w:pPr>
    </w:lvl>
    <w:lvl w:ilvl="2" w:tplc="0809001B" w:tentative="1">
      <w:start w:val="1"/>
      <w:numFmt w:val="lowerRoman"/>
      <w:lvlText w:val="%3."/>
      <w:lvlJc w:val="right"/>
      <w:pPr>
        <w:ind w:left="3084" w:hanging="180"/>
      </w:pPr>
    </w:lvl>
    <w:lvl w:ilvl="3" w:tplc="0809000F" w:tentative="1">
      <w:start w:val="1"/>
      <w:numFmt w:val="decimal"/>
      <w:lvlText w:val="%4."/>
      <w:lvlJc w:val="left"/>
      <w:pPr>
        <w:ind w:left="3804" w:hanging="360"/>
      </w:pPr>
    </w:lvl>
    <w:lvl w:ilvl="4" w:tplc="08090019" w:tentative="1">
      <w:start w:val="1"/>
      <w:numFmt w:val="lowerLetter"/>
      <w:lvlText w:val="%5."/>
      <w:lvlJc w:val="left"/>
      <w:pPr>
        <w:ind w:left="4524" w:hanging="360"/>
      </w:pPr>
    </w:lvl>
    <w:lvl w:ilvl="5" w:tplc="0809001B" w:tentative="1">
      <w:start w:val="1"/>
      <w:numFmt w:val="lowerRoman"/>
      <w:lvlText w:val="%6."/>
      <w:lvlJc w:val="right"/>
      <w:pPr>
        <w:ind w:left="5244" w:hanging="180"/>
      </w:pPr>
    </w:lvl>
    <w:lvl w:ilvl="6" w:tplc="0809000F" w:tentative="1">
      <w:start w:val="1"/>
      <w:numFmt w:val="decimal"/>
      <w:lvlText w:val="%7."/>
      <w:lvlJc w:val="left"/>
      <w:pPr>
        <w:ind w:left="5964" w:hanging="360"/>
      </w:pPr>
    </w:lvl>
    <w:lvl w:ilvl="7" w:tplc="08090019" w:tentative="1">
      <w:start w:val="1"/>
      <w:numFmt w:val="lowerLetter"/>
      <w:lvlText w:val="%8."/>
      <w:lvlJc w:val="left"/>
      <w:pPr>
        <w:ind w:left="6684" w:hanging="360"/>
      </w:pPr>
    </w:lvl>
    <w:lvl w:ilvl="8" w:tplc="0809001B" w:tentative="1">
      <w:start w:val="1"/>
      <w:numFmt w:val="lowerRoman"/>
      <w:lvlText w:val="%9."/>
      <w:lvlJc w:val="right"/>
      <w:pPr>
        <w:ind w:left="7404" w:hanging="180"/>
      </w:pPr>
    </w:lvl>
  </w:abstractNum>
  <w:abstractNum w:abstractNumId="10" w15:restartNumberingAfterBreak="0">
    <w:nsid w:val="31B10F5D"/>
    <w:multiLevelType w:val="multilevel"/>
    <w:tmpl w:val="13D646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3C350D7"/>
    <w:multiLevelType w:val="hybridMultilevel"/>
    <w:tmpl w:val="0024A436"/>
    <w:lvl w:ilvl="0" w:tplc="BBC2AB80">
      <w:start w:val="1"/>
      <w:numFmt w:val="lowerRoman"/>
      <w:pStyle w:val="Sub-clauselevel4"/>
      <w:lvlText w:val="(%1)"/>
      <w:lvlJc w:val="left"/>
      <w:pPr>
        <w:ind w:left="2061" w:hanging="360"/>
      </w:pPr>
      <w:rPr>
        <w:rFonts w:hint="default"/>
      </w:rPr>
    </w:lvl>
    <w:lvl w:ilvl="1" w:tplc="08090019" w:tentative="1">
      <w:start w:val="1"/>
      <w:numFmt w:val="lowerLetter"/>
      <w:lvlText w:val="%2."/>
      <w:lvlJc w:val="left"/>
      <w:pPr>
        <w:ind w:left="2999" w:hanging="360"/>
      </w:pPr>
    </w:lvl>
    <w:lvl w:ilvl="2" w:tplc="0809001B" w:tentative="1">
      <w:start w:val="1"/>
      <w:numFmt w:val="lowerRoman"/>
      <w:lvlText w:val="%3."/>
      <w:lvlJc w:val="right"/>
      <w:pPr>
        <w:ind w:left="3719" w:hanging="180"/>
      </w:pPr>
    </w:lvl>
    <w:lvl w:ilvl="3" w:tplc="0809000F" w:tentative="1">
      <w:start w:val="1"/>
      <w:numFmt w:val="decimal"/>
      <w:lvlText w:val="%4."/>
      <w:lvlJc w:val="left"/>
      <w:pPr>
        <w:ind w:left="4439" w:hanging="360"/>
      </w:pPr>
    </w:lvl>
    <w:lvl w:ilvl="4" w:tplc="08090019" w:tentative="1">
      <w:start w:val="1"/>
      <w:numFmt w:val="lowerLetter"/>
      <w:lvlText w:val="%5."/>
      <w:lvlJc w:val="left"/>
      <w:pPr>
        <w:ind w:left="5159" w:hanging="360"/>
      </w:pPr>
    </w:lvl>
    <w:lvl w:ilvl="5" w:tplc="0809001B" w:tentative="1">
      <w:start w:val="1"/>
      <w:numFmt w:val="lowerRoman"/>
      <w:lvlText w:val="%6."/>
      <w:lvlJc w:val="right"/>
      <w:pPr>
        <w:ind w:left="5879" w:hanging="180"/>
      </w:pPr>
    </w:lvl>
    <w:lvl w:ilvl="6" w:tplc="0809000F" w:tentative="1">
      <w:start w:val="1"/>
      <w:numFmt w:val="decimal"/>
      <w:lvlText w:val="%7."/>
      <w:lvlJc w:val="left"/>
      <w:pPr>
        <w:ind w:left="6599" w:hanging="360"/>
      </w:pPr>
    </w:lvl>
    <w:lvl w:ilvl="7" w:tplc="08090019" w:tentative="1">
      <w:start w:val="1"/>
      <w:numFmt w:val="lowerLetter"/>
      <w:lvlText w:val="%8."/>
      <w:lvlJc w:val="left"/>
      <w:pPr>
        <w:ind w:left="7319" w:hanging="360"/>
      </w:pPr>
    </w:lvl>
    <w:lvl w:ilvl="8" w:tplc="0809001B" w:tentative="1">
      <w:start w:val="1"/>
      <w:numFmt w:val="lowerRoman"/>
      <w:lvlText w:val="%9."/>
      <w:lvlJc w:val="right"/>
      <w:pPr>
        <w:ind w:left="8039" w:hanging="180"/>
      </w:pPr>
    </w:lvl>
  </w:abstractNum>
  <w:abstractNum w:abstractNumId="12" w15:restartNumberingAfterBreak="0">
    <w:nsid w:val="5262392F"/>
    <w:multiLevelType w:val="hybridMultilevel"/>
    <w:tmpl w:val="E7D458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B36E50"/>
    <w:multiLevelType w:val="hybridMultilevel"/>
    <w:tmpl w:val="69B0E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720EDD"/>
    <w:multiLevelType w:val="multilevel"/>
    <w:tmpl w:val="6C60FE3C"/>
    <w:styleLink w:val="Numberslevel1"/>
    <w:lvl w:ilvl="0">
      <w:start w:val="1"/>
      <w:numFmt w:val="decimal"/>
      <w:lvlText w:val="%1."/>
      <w:lvlJc w:val="left"/>
      <w:pPr>
        <w:ind w:left="567" w:hanging="567"/>
      </w:pPr>
      <w:rPr>
        <w:rFonts w:hint="default"/>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82D5A01"/>
    <w:multiLevelType w:val="multilevel"/>
    <w:tmpl w:val="40F8FBEA"/>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b w:val="0"/>
        <w:bCs w:val="0"/>
      </w:rPr>
    </w:lvl>
    <w:lvl w:ilvl="2">
      <w:start w:val="1"/>
      <w:numFmt w:val="decimal"/>
      <w:lvlText w:val="%1.%2.%3"/>
      <w:lvlJc w:val="left"/>
      <w:pPr>
        <w:ind w:left="1559"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8695E7D"/>
    <w:multiLevelType w:val="hybridMultilevel"/>
    <w:tmpl w:val="3230C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896A36"/>
    <w:multiLevelType w:val="multilevel"/>
    <w:tmpl w:val="8E62C038"/>
    <w:styleLink w:val="Levelone"/>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8" w15:restartNumberingAfterBreak="0">
    <w:nsid w:val="77165885"/>
    <w:multiLevelType w:val="hybridMultilevel"/>
    <w:tmpl w:val="5B08CFE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78AA6CB0"/>
    <w:multiLevelType w:val="hybridMultilevel"/>
    <w:tmpl w:val="C0A298D0"/>
    <w:lvl w:ilvl="0" w:tplc="EB70BF3E">
      <w:start w:val="1"/>
      <w:numFmt w:val="bullet"/>
      <w:pStyle w:val="Sub-Bullet"/>
      <w:lvlText w:val=""/>
      <w:lvlJc w:val="left"/>
      <w:pPr>
        <w:ind w:left="1284" w:hanging="360"/>
      </w:pPr>
      <w:rPr>
        <w:rFonts w:ascii="Symbol" w:hAnsi="Symbol" w:hint="default"/>
        <w:color w:val="auto"/>
        <w:sz w:val="24"/>
      </w:rPr>
    </w:lvl>
    <w:lvl w:ilvl="1" w:tplc="08090003" w:tentative="1">
      <w:start w:val="1"/>
      <w:numFmt w:val="bullet"/>
      <w:lvlText w:val="o"/>
      <w:lvlJc w:val="left"/>
      <w:pPr>
        <w:ind w:left="2364" w:hanging="360"/>
      </w:pPr>
      <w:rPr>
        <w:rFonts w:ascii="Courier New" w:hAnsi="Courier New" w:cs="Courier New" w:hint="default"/>
      </w:rPr>
    </w:lvl>
    <w:lvl w:ilvl="2" w:tplc="08090005" w:tentative="1">
      <w:start w:val="1"/>
      <w:numFmt w:val="bullet"/>
      <w:lvlText w:val=""/>
      <w:lvlJc w:val="left"/>
      <w:pPr>
        <w:ind w:left="3084" w:hanging="360"/>
      </w:pPr>
      <w:rPr>
        <w:rFonts w:ascii="Wingdings" w:hAnsi="Wingdings" w:hint="default"/>
      </w:rPr>
    </w:lvl>
    <w:lvl w:ilvl="3" w:tplc="08090001" w:tentative="1">
      <w:start w:val="1"/>
      <w:numFmt w:val="bullet"/>
      <w:lvlText w:val=""/>
      <w:lvlJc w:val="left"/>
      <w:pPr>
        <w:ind w:left="3804" w:hanging="360"/>
      </w:pPr>
      <w:rPr>
        <w:rFonts w:ascii="Symbol" w:hAnsi="Symbol" w:hint="default"/>
      </w:rPr>
    </w:lvl>
    <w:lvl w:ilvl="4" w:tplc="08090003" w:tentative="1">
      <w:start w:val="1"/>
      <w:numFmt w:val="bullet"/>
      <w:lvlText w:val="o"/>
      <w:lvlJc w:val="left"/>
      <w:pPr>
        <w:ind w:left="4524" w:hanging="360"/>
      </w:pPr>
      <w:rPr>
        <w:rFonts w:ascii="Courier New" w:hAnsi="Courier New" w:cs="Courier New" w:hint="default"/>
      </w:rPr>
    </w:lvl>
    <w:lvl w:ilvl="5" w:tplc="08090005" w:tentative="1">
      <w:start w:val="1"/>
      <w:numFmt w:val="bullet"/>
      <w:lvlText w:val=""/>
      <w:lvlJc w:val="left"/>
      <w:pPr>
        <w:ind w:left="5244" w:hanging="360"/>
      </w:pPr>
      <w:rPr>
        <w:rFonts w:ascii="Wingdings" w:hAnsi="Wingdings" w:hint="default"/>
      </w:rPr>
    </w:lvl>
    <w:lvl w:ilvl="6" w:tplc="08090001" w:tentative="1">
      <w:start w:val="1"/>
      <w:numFmt w:val="bullet"/>
      <w:lvlText w:val=""/>
      <w:lvlJc w:val="left"/>
      <w:pPr>
        <w:ind w:left="5964" w:hanging="360"/>
      </w:pPr>
      <w:rPr>
        <w:rFonts w:ascii="Symbol" w:hAnsi="Symbol" w:hint="default"/>
      </w:rPr>
    </w:lvl>
    <w:lvl w:ilvl="7" w:tplc="08090003" w:tentative="1">
      <w:start w:val="1"/>
      <w:numFmt w:val="bullet"/>
      <w:lvlText w:val="o"/>
      <w:lvlJc w:val="left"/>
      <w:pPr>
        <w:ind w:left="6684" w:hanging="360"/>
      </w:pPr>
      <w:rPr>
        <w:rFonts w:ascii="Courier New" w:hAnsi="Courier New" w:cs="Courier New" w:hint="default"/>
      </w:rPr>
    </w:lvl>
    <w:lvl w:ilvl="8" w:tplc="08090005" w:tentative="1">
      <w:start w:val="1"/>
      <w:numFmt w:val="bullet"/>
      <w:lvlText w:val=""/>
      <w:lvlJc w:val="left"/>
      <w:pPr>
        <w:ind w:left="7404" w:hanging="360"/>
      </w:pPr>
      <w:rPr>
        <w:rFonts w:ascii="Wingdings" w:hAnsi="Wingdings" w:hint="default"/>
      </w:rPr>
    </w:lvl>
  </w:abstractNum>
  <w:num w:numId="1" w16cid:durableId="220167567">
    <w:abstractNumId w:val="1"/>
  </w:num>
  <w:num w:numId="2" w16cid:durableId="404454393">
    <w:abstractNumId w:val="4"/>
  </w:num>
  <w:num w:numId="3" w16cid:durableId="506208881">
    <w:abstractNumId w:val="17"/>
  </w:num>
  <w:num w:numId="4" w16cid:durableId="307713254">
    <w:abstractNumId w:val="2"/>
  </w:num>
  <w:num w:numId="5" w16cid:durableId="964505436">
    <w:abstractNumId w:val="3"/>
  </w:num>
  <w:num w:numId="6" w16cid:durableId="1375931592">
    <w:abstractNumId w:val="19"/>
  </w:num>
  <w:num w:numId="7" w16cid:durableId="1593969252">
    <w:abstractNumId w:val="9"/>
  </w:num>
  <w:num w:numId="8" w16cid:durableId="927735793">
    <w:abstractNumId w:val="9"/>
    <w:lvlOverride w:ilvl="0">
      <w:startOverride w:val="1"/>
    </w:lvlOverride>
  </w:num>
  <w:num w:numId="9" w16cid:durableId="1505121149">
    <w:abstractNumId w:val="11"/>
  </w:num>
  <w:num w:numId="10" w16cid:durableId="1378358254">
    <w:abstractNumId w:val="9"/>
    <w:lvlOverride w:ilvl="0">
      <w:startOverride w:val="1"/>
    </w:lvlOverride>
  </w:num>
  <w:num w:numId="11" w16cid:durableId="2102556830">
    <w:abstractNumId w:val="9"/>
    <w:lvlOverride w:ilvl="0">
      <w:startOverride w:val="1"/>
    </w:lvlOverride>
  </w:num>
  <w:num w:numId="12" w16cid:durableId="1685207639">
    <w:abstractNumId w:val="9"/>
    <w:lvlOverride w:ilvl="0">
      <w:startOverride w:val="1"/>
    </w:lvlOverride>
  </w:num>
  <w:num w:numId="13" w16cid:durableId="12346943">
    <w:abstractNumId w:val="9"/>
    <w:lvlOverride w:ilvl="0">
      <w:startOverride w:val="1"/>
    </w:lvlOverride>
  </w:num>
  <w:num w:numId="14" w16cid:durableId="630795032">
    <w:abstractNumId w:val="9"/>
    <w:lvlOverride w:ilvl="0">
      <w:startOverride w:val="1"/>
    </w:lvlOverride>
  </w:num>
  <w:num w:numId="15" w16cid:durableId="771366455">
    <w:abstractNumId w:val="11"/>
    <w:lvlOverride w:ilvl="0">
      <w:startOverride w:val="1"/>
    </w:lvlOverride>
  </w:num>
  <w:num w:numId="16" w16cid:durableId="1208294195">
    <w:abstractNumId w:val="9"/>
    <w:lvlOverride w:ilvl="0">
      <w:startOverride w:val="1"/>
    </w:lvlOverride>
  </w:num>
  <w:num w:numId="17" w16cid:durableId="999964337">
    <w:abstractNumId w:val="9"/>
    <w:lvlOverride w:ilvl="0">
      <w:startOverride w:val="1"/>
    </w:lvlOverride>
  </w:num>
  <w:num w:numId="18" w16cid:durableId="169297736">
    <w:abstractNumId w:val="9"/>
    <w:lvlOverride w:ilvl="0">
      <w:startOverride w:val="1"/>
    </w:lvlOverride>
  </w:num>
  <w:num w:numId="19" w16cid:durableId="114493661">
    <w:abstractNumId w:val="9"/>
    <w:lvlOverride w:ilvl="0">
      <w:startOverride w:val="1"/>
    </w:lvlOverride>
  </w:num>
  <w:num w:numId="20" w16cid:durableId="645933390">
    <w:abstractNumId w:val="9"/>
    <w:lvlOverride w:ilvl="0">
      <w:startOverride w:val="1"/>
    </w:lvlOverride>
  </w:num>
  <w:num w:numId="21" w16cid:durableId="266498597">
    <w:abstractNumId w:val="14"/>
  </w:num>
  <w:num w:numId="22" w16cid:durableId="1827549991">
    <w:abstractNumId w:val="6"/>
  </w:num>
  <w:num w:numId="23" w16cid:durableId="120421820">
    <w:abstractNumId w:val="15"/>
  </w:num>
  <w:num w:numId="24" w16cid:durableId="52779725">
    <w:abstractNumId w:val="0"/>
  </w:num>
  <w:num w:numId="25" w16cid:durableId="11290089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75039299">
    <w:abstractNumId w:val="15"/>
    <w:lvlOverride w:ilvl="0">
      <w:lvl w:ilvl="0">
        <w:start w:val="1"/>
        <w:numFmt w:val="decimal"/>
        <w:lvlText w:val="%1."/>
        <w:lvlJc w:val="left"/>
        <w:pPr>
          <w:ind w:left="567" w:hanging="567"/>
        </w:pPr>
        <w:rPr>
          <w:rFonts w:hint="default"/>
        </w:rPr>
      </w:lvl>
    </w:lvlOverride>
    <w:lvlOverride w:ilvl="1">
      <w:lvl w:ilvl="1">
        <w:start w:val="1"/>
        <w:numFmt w:val="decimal"/>
        <w:lvlText w:val="%1.%2"/>
        <w:lvlJc w:val="left"/>
        <w:pPr>
          <w:ind w:left="1134" w:hanging="567"/>
        </w:pPr>
        <w:rPr>
          <w:rFonts w:hint="default"/>
        </w:rPr>
      </w:lvl>
    </w:lvlOverride>
    <w:lvlOverride w:ilvl="2">
      <w:lvl w:ilvl="2">
        <w:start w:val="1"/>
        <w:numFmt w:val="decimal"/>
        <w:lvlText w:val="%1.%2.%3"/>
        <w:lvlJc w:val="left"/>
        <w:pPr>
          <w:ind w:left="1843" w:hanging="709"/>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16cid:durableId="13502594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0590077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845440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023960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5001398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275297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11789103">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84242614">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58742959">
    <w:abstractNumId w:val="10"/>
  </w:num>
  <w:num w:numId="36" w16cid:durableId="827788827">
    <w:abstractNumId w:val="12"/>
  </w:num>
  <w:num w:numId="37" w16cid:durableId="2046782453">
    <w:abstractNumId w:val="13"/>
  </w:num>
  <w:num w:numId="38" w16cid:durableId="305362224">
    <w:abstractNumId w:val="8"/>
  </w:num>
  <w:num w:numId="39" w16cid:durableId="1604725152">
    <w:abstractNumId w:val="16"/>
  </w:num>
  <w:num w:numId="40" w16cid:durableId="580018647">
    <w:abstractNumId w:val="7"/>
  </w:num>
  <w:num w:numId="41" w16cid:durableId="1379470200">
    <w:abstractNumId w:val="5"/>
  </w:num>
  <w:num w:numId="42" w16cid:durableId="405349160">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C90"/>
    <w:rsid w:val="000009CB"/>
    <w:rsid w:val="00000C92"/>
    <w:rsid w:val="00002D46"/>
    <w:rsid w:val="00002F1D"/>
    <w:rsid w:val="00003333"/>
    <w:rsid w:val="00003BE8"/>
    <w:rsid w:val="00004B8B"/>
    <w:rsid w:val="00012CBD"/>
    <w:rsid w:val="00016A4D"/>
    <w:rsid w:val="00016FD8"/>
    <w:rsid w:val="00023B71"/>
    <w:rsid w:val="000261B9"/>
    <w:rsid w:val="00031021"/>
    <w:rsid w:val="00031FF0"/>
    <w:rsid w:val="000335D8"/>
    <w:rsid w:val="00037251"/>
    <w:rsid w:val="00042759"/>
    <w:rsid w:val="00042BEE"/>
    <w:rsid w:val="00042E48"/>
    <w:rsid w:val="00043722"/>
    <w:rsid w:val="00045ECB"/>
    <w:rsid w:val="00050471"/>
    <w:rsid w:val="00051FFE"/>
    <w:rsid w:val="00054CE1"/>
    <w:rsid w:val="00055EFF"/>
    <w:rsid w:val="000576B7"/>
    <w:rsid w:val="00060BD0"/>
    <w:rsid w:val="00065AC9"/>
    <w:rsid w:val="00065D8A"/>
    <w:rsid w:val="00066014"/>
    <w:rsid w:val="0007024C"/>
    <w:rsid w:val="000722F5"/>
    <w:rsid w:val="00072D4C"/>
    <w:rsid w:val="0007364E"/>
    <w:rsid w:val="00073F8E"/>
    <w:rsid w:val="00074E48"/>
    <w:rsid w:val="000769E8"/>
    <w:rsid w:val="0007752E"/>
    <w:rsid w:val="00080D27"/>
    <w:rsid w:val="000829EE"/>
    <w:rsid w:val="000908BB"/>
    <w:rsid w:val="0009420E"/>
    <w:rsid w:val="000947AF"/>
    <w:rsid w:val="00096ECD"/>
    <w:rsid w:val="000A0044"/>
    <w:rsid w:val="000A20A4"/>
    <w:rsid w:val="000A40E0"/>
    <w:rsid w:val="000A4363"/>
    <w:rsid w:val="000A46C9"/>
    <w:rsid w:val="000A46D8"/>
    <w:rsid w:val="000A5481"/>
    <w:rsid w:val="000A7D92"/>
    <w:rsid w:val="000B2712"/>
    <w:rsid w:val="000B2A74"/>
    <w:rsid w:val="000B4F2F"/>
    <w:rsid w:val="000B653E"/>
    <w:rsid w:val="000B69B4"/>
    <w:rsid w:val="000B6B7A"/>
    <w:rsid w:val="000B6BAA"/>
    <w:rsid w:val="000B7F2E"/>
    <w:rsid w:val="000C0D85"/>
    <w:rsid w:val="000C1958"/>
    <w:rsid w:val="000C300B"/>
    <w:rsid w:val="000D1D42"/>
    <w:rsid w:val="000D52BE"/>
    <w:rsid w:val="000E06C3"/>
    <w:rsid w:val="000E0BD3"/>
    <w:rsid w:val="000E3576"/>
    <w:rsid w:val="000E4794"/>
    <w:rsid w:val="000E50E2"/>
    <w:rsid w:val="000E5A95"/>
    <w:rsid w:val="000E644A"/>
    <w:rsid w:val="000F16F8"/>
    <w:rsid w:val="000F3950"/>
    <w:rsid w:val="000F5A25"/>
    <w:rsid w:val="000F5C4B"/>
    <w:rsid w:val="000F6B51"/>
    <w:rsid w:val="001018D6"/>
    <w:rsid w:val="00106F13"/>
    <w:rsid w:val="00111FED"/>
    <w:rsid w:val="0011404D"/>
    <w:rsid w:val="00114907"/>
    <w:rsid w:val="00116B5A"/>
    <w:rsid w:val="00121BC2"/>
    <w:rsid w:val="00126AE8"/>
    <w:rsid w:val="001308E3"/>
    <w:rsid w:val="00132D48"/>
    <w:rsid w:val="00141C9A"/>
    <w:rsid w:val="001421CE"/>
    <w:rsid w:val="00145452"/>
    <w:rsid w:val="00145F7D"/>
    <w:rsid w:val="00146D33"/>
    <w:rsid w:val="00147E4E"/>
    <w:rsid w:val="00150A64"/>
    <w:rsid w:val="001525F1"/>
    <w:rsid w:val="00152D33"/>
    <w:rsid w:val="00153ADD"/>
    <w:rsid w:val="00155931"/>
    <w:rsid w:val="00156124"/>
    <w:rsid w:val="0016468B"/>
    <w:rsid w:val="00166279"/>
    <w:rsid w:val="0016661D"/>
    <w:rsid w:val="00174D3E"/>
    <w:rsid w:val="001756CF"/>
    <w:rsid w:val="00183846"/>
    <w:rsid w:val="00185357"/>
    <w:rsid w:val="00186873"/>
    <w:rsid w:val="00186A28"/>
    <w:rsid w:val="0019535C"/>
    <w:rsid w:val="001961C9"/>
    <w:rsid w:val="00197759"/>
    <w:rsid w:val="001978FC"/>
    <w:rsid w:val="00197A96"/>
    <w:rsid w:val="001A222D"/>
    <w:rsid w:val="001A2F14"/>
    <w:rsid w:val="001A2F20"/>
    <w:rsid w:val="001A3DF9"/>
    <w:rsid w:val="001A589E"/>
    <w:rsid w:val="001B1D95"/>
    <w:rsid w:val="001B325A"/>
    <w:rsid w:val="001B3E49"/>
    <w:rsid w:val="001B495D"/>
    <w:rsid w:val="001C190B"/>
    <w:rsid w:val="001C4B62"/>
    <w:rsid w:val="001C73EB"/>
    <w:rsid w:val="001D09C8"/>
    <w:rsid w:val="001D1FFD"/>
    <w:rsid w:val="001D34C7"/>
    <w:rsid w:val="001D7066"/>
    <w:rsid w:val="001D7465"/>
    <w:rsid w:val="001E0060"/>
    <w:rsid w:val="001E0A41"/>
    <w:rsid w:val="001E2230"/>
    <w:rsid w:val="001E3931"/>
    <w:rsid w:val="001E6AA8"/>
    <w:rsid w:val="001E749C"/>
    <w:rsid w:val="001F1767"/>
    <w:rsid w:val="001F52B5"/>
    <w:rsid w:val="00202AF2"/>
    <w:rsid w:val="0021051B"/>
    <w:rsid w:val="0021288E"/>
    <w:rsid w:val="00212CB3"/>
    <w:rsid w:val="0021338F"/>
    <w:rsid w:val="00215C7C"/>
    <w:rsid w:val="00215DF8"/>
    <w:rsid w:val="00222ACF"/>
    <w:rsid w:val="00223080"/>
    <w:rsid w:val="002255EA"/>
    <w:rsid w:val="00226D32"/>
    <w:rsid w:val="00226D5E"/>
    <w:rsid w:val="00227530"/>
    <w:rsid w:val="00232F95"/>
    <w:rsid w:val="00237615"/>
    <w:rsid w:val="0023797A"/>
    <w:rsid w:val="0024343C"/>
    <w:rsid w:val="00244001"/>
    <w:rsid w:val="0024500B"/>
    <w:rsid w:val="00246C00"/>
    <w:rsid w:val="0025159B"/>
    <w:rsid w:val="00254241"/>
    <w:rsid w:val="00261BBF"/>
    <w:rsid w:val="00266827"/>
    <w:rsid w:val="002672A7"/>
    <w:rsid w:val="0027148A"/>
    <w:rsid w:val="00272902"/>
    <w:rsid w:val="0027479A"/>
    <w:rsid w:val="00275BBF"/>
    <w:rsid w:val="002766A6"/>
    <w:rsid w:val="00277C60"/>
    <w:rsid w:val="0028184D"/>
    <w:rsid w:val="00286115"/>
    <w:rsid w:val="002953CD"/>
    <w:rsid w:val="002A0D98"/>
    <w:rsid w:val="002A3A07"/>
    <w:rsid w:val="002A4DF9"/>
    <w:rsid w:val="002B6E02"/>
    <w:rsid w:val="002B794E"/>
    <w:rsid w:val="002C12B0"/>
    <w:rsid w:val="002C2287"/>
    <w:rsid w:val="002C2451"/>
    <w:rsid w:val="002C394E"/>
    <w:rsid w:val="002C6FF6"/>
    <w:rsid w:val="002D27B1"/>
    <w:rsid w:val="002D439E"/>
    <w:rsid w:val="002D4F02"/>
    <w:rsid w:val="002D61B9"/>
    <w:rsid w:val="002D7FC7"/>
    <w:rsid w:val="002E2B40"/>
    <w:rsid w:val="002E3395"/>
    <w:rsid w:val="002E4D52"/>
    <w:rsid w:val="002E5C2A"/>
    <w:rsid w:val="002F324F"/>
    <w:rsid w:val="002F4D7B"/>
    <w:rsid w:val="002F59B1"/>
    <w:rsid w:val="003012B7"/>
    <w:rsid w:val="003027CA"/>
    <w:rsid w:val="00302D9D"/>
    <w:rsid w:val="00304A1B"/>
    <w:rsid w:val="003074F9"/>
    <w:rsid w:val="00311B91"/>
    <w:rsid w:val="0031225A"/>
    <w:rsid w:val="003164B8"/>
    <w:rsid w:val="00316500"/>
    <w:rsid w:val="003204C7"/>
    <w:rsid w:val="003236F6"/>
    <w:rsid w:val="00324CA2"/>
    <w:rsid w:val="00324FD1"/>
    <w:rsid w:val="00326939"/>
    <w:rsid w:val="0033070A"/>
    <w:rsid w:val="00333292"/>
    <w:rsid w:val="00335401"/>
    <w:rsid w:val="00336C30"/>
    <w:rsid w:val="00340127"/>
    <w:rsid w:val="00345BC0"/>
    <w:rsid w:val="0035215C"/>
    <w:rsid w:val="00353181"/>
    <w:rsid w:val="00356848"/>
    <w:rsid w:val="00357D76"/>
    <w:rsid w:val="003604E0"/>
    <w:rsid w:val="0036156F"/>
    <w:rsid w:val="003635CB"/>
    <w:rsid w:val="0036456E"/>
    <w:rsid w:val="00364A35"/>
    <w:rsid w:val="00364C90"/>
    <w:rsid w:val="00375391"/>
    <w:rsid w:val="00376F79"/>
    <w:rsid w:val="0037737C"/>
    <w:rsid w:val="00380BEF"/>
    <w:rsid w:val="0038161D"/>
    <w:rsid w:val="003842C9"/>
    <w:rsid w:val="0039078D"/>
    <w:rsid w:val="003A4AE0"/>
    <w:rsid w:val="003A6159"/>
    <w:rsid w:val="003A6A81"/>
    <w:rsid w:val="003A75FE"/>
    <w:rsid w:val="003A7F29"/>
    <w:rsid w:val="003B0FBB"/>
    <w:rsid w:val="003B53A5"/>
    <w:rsid w:val="003B61E2"/>
    <w:rsid w:val="003B6DB7"/>
    <w:rsid w:val="003B7263"/>
    <w:rsid w:val="003C173E"/>
    <w:rsid w:val="003C452F"/>
    <w:rsid w:val="003D0387"/>
    <w:rsid w:val="003D1E47"/>
    <w:rsid w:val="003D1F7C"/>
    <w:rsid w:val="003D30F8"/>
    <w:rsid w:val="003D3C94"/>
    <w:rsid w:val="003D6A00"/>
    <w:rsid w:val="003E4742"/>
    <w:rsid w:val="003E5828"/>
    <w:rsid w:val="003F2335"/>
    <w:rsid w:val="003F4A0E"/>
    <w:rsid w:val="003F68A7"/>
    <w:rsid w:val="003F6B6D"/>
    <w:rsid w:val="003F6E7A"/>
    <w:rsid w:val="003F779A"/>
    <w:rsid w:val="00404E92"/>
    <w:rsid w:val="00412C3B"/>
    <w:rsid w:val="00412CFA"/>
    <w:rsid w:val="0041563A"/>
    <w:rsid w:val="004175EE"/>
    <w:rsid w:val="0042020C"/>
    <w:rsid w:val="0042077F"/>
    <w:rsid w:val="004221A7"/>
    <w:rsid w:val="00424537"/>
    <w:rsid w:val="00426468"/>
    <w:rsid w:val="00427622"/>
    <w:rsid w:val="00433EE2"/>
    <w:rsid w:val="00433F3E"/>
    <w:rsid w:val="00435032"/>
    <w:rsid w:val="00437B77"/>
    <w:rsid w:val="00437D5B"/>
    <w:rsid w:val="004412BB"/>
    <w:rsid w:val="00441F89"/>
    <w:rsid w:val="00441FC3"/>
    <w:rsid w:val="004431BB"/>
    <w:rsid w:val="00443B08"/>
    <w:rsid w:val="004451CE"/>
    <w:rsid w:val="00446CA3"/>
    <w:rsid w:val="00447207"/>
    <w:rsid w:val="004513ED"/>
    <w:rsid w:val="00461C84"/>
    <w:rsid w:val="004638C3"/>
    <w:rsid w:val="0046420E"/>
    <w:rsid w:val="00465476"/>
    <w:rsid w:val="004666E7"/>
    <w:rsid w:val="00466E54"/>
    <w:rsid w:val="00467F5F"/>
    <w:rsid w:val="00471348"/>
    <w:rsid w:val="00480F6D"/>
    <w:rsid w:val="00482CF7"/>
    <w:rsid w:val="00484C53"/>
    <w:rsid w:val="00487335"/>
    <w:rsid w:val="00490511"/>
    <w:rsid w:val="00494AF1"/>
    <w:rsid w:val="0049529C"/>
    <w:rsid w:val="004A1B0F"/>
    <w:rsid w:val="004A3048"/>
    <w:rsid w:val="004A3928"/>
    <w:rsid w:val="004A5528"/>
    <w:rsid w:val="004A717B"/>
    <w:rsid w:val="004B3879"/>
    <w:rsid w:val="004C1B30"/>
    <w:rsid w:val="004C1BD4"/>
    <w:rsid w:val="004C36C2"/>
    <w:rsid w:val="004C385D"/>
    <w:rsid w:val="004C4506"/>
    <w:rsid w:val="004C4542"/>
    <w:rsid w:val="004D1B65"/>
    <w:rsid w:val="004D362C"/>
    <w:rsid w:val="004D3CA6"/>
    <w:rsid w:val="004D45C6"/>
    <w:rsid w:val="004D4AEA"/>
    <w:rsid w:val="004D53FD"/>
    <w:rsid w:val="004D71FB"/>
    <w:rsid w:val="004D7943"/>
    <w:rsid w:val="004E44A5"/>
    <w:rsid w:val="004E7AE8"/>
    <w:rsid w:val="004F141C"/>
    <w:rsid w:val="004F2951"/>
    <w:rsid w:val="004F2EF0"/>
    <w:rsid w:val="004F5AA5"/>
    <w:rsid w:val="005002E1"/>
    <w:rsid w:val="00500FE9"/>
    <w:rsid w:val="005019AE"/>
    <w:rsid w:val="00501F89"/>
    <w:rsid w:val="0050473A"/>
    <w:rsid w:val="00505B30"/>
    <w:rsid w:val="00515D5E"/>
    <w:rsid w:val="0052054D"/>
    <w:rsid w:val="00520EE2"/>
    <w:rsid w:val="00522B37"/>
    <w:rsid w:val="00522BA5"/>
    <w:rsid w:val="00530DEE"/>
    <w:rsid w:val="0053481F"/>
    <w:rsid w:val="00536F87"/>
    <w:rsid w:val="005377B9"/>
    <w:rsid w:val="005405CC"/>
    <w:rsid w:val="0054153F"/>
    <w:rsid w:val="00542210"/>
    <w:rsid w:val="00542938"/>
    <w:rsid w:val="00543819"/>
    <w:rsid w:val="00546E63"/>
    <w:rsid w:val="0054757C"/>
    <w:rsid w:val="00547976"/>
    <w:rsid w:val="0055437C"/>
    <w:rsid w:val="00556211"/>
    <w:rsid w:val="00557B03"/>
    <w:rsid w:val="00561F20"/>
    <w:rsid w:val="00562EEC"/>
    <w:rsid w:val="00564EDB"/>
    <w:rsid w:val="00570241"/>
    <w:rsid w:val="00571AA5"/>
    <w:rsid w:val="00577D62"/>
    <w:rsid w:val="00581A22"/>
    <w:rsid w:val="00581EFF"/>
    <w:rsid w:val="00583A82"/>
    <w:rsid w:val="00591C43"/>
    <w:rsid w:val="00592815"/>
    <w:rsid w:val="00593849"/>
    <w:rsid w:val="00593D8C"/>
    <w:rsid w:val="005A03E5"/>
    <w:rsid w:val="005A145F"/>
    <w:rsid w:val="005A1920"/>
    <w:rsid w:val="005A49E0"/>
    <w:rsid w:val="005B2B41"/>
    <w:rsid w:val="005B3DE8"/>
    <w:rsid w:val="005C2B95"/>
    <w:rsid w:val="005C4591"/>
    <w:rsid w:val="005C57A0"/>
    <w:rsid w:val="005C5EB1"/>
    <w:rsid w:val="005C6331"/>
    <w:rsid w:val="005C7D0F"/>
    <w:rsid w:val="005D0337"/>
    <w:rsid w:val="005D08AB"/>
    <w:rsid w:val="005D3DEB"/>
    <w:rsid w:val="005E4105"/>
    <w:rsid w:val="005E4252"/>
    <w:rsid w:val="005E626E"/>
    <w:rsid w:val="005F31E9"/>
    <w:rsid w:val="005F589C"/>
    <w:rsid w:val="005F739E"/>
    <w:rsid w:val="006007D5"/>
    <w:rsid w:val="00601325"/>
    <w:rsid w:val="00603B12"/>
    <w:rsid w:val="0060436A"/>
    <w:rsid w:val="00607813"/>
    <w:rsid w:val="006131BB"/>
    <w:rsid w:val="00613DE1"/>
    <w:rsid w:val="00613F81"/>
    <w:rsid w:val="0061430A"/>
    <w:rsid w:val="00615202"/>
    <w:rsid w:val="0061546F"/>
    <w:rsid w:val="00615E01"/>
    <w:rsid w:val="00616E24"/>
    <w:rsid w:val="00620F54"/>
    <w:rsid w:val="00623BA1"/>
    <w:rsid w:val="0062513F"/>
    <w:rsid w:val="0062564F"/>
    <w:rsid w:val="00626906"/>
    <w:rsid w:val="00633C79"/>
    <w:rsid w:val="00634330"/>
    <w:rsid w:val="00634932"/>
    <w:rsid w:val="00640DEC"/>
    <w:rsid w:val="00643736"/>
    <w:rsid w:val="00650C27"/>
    <w:rsid w:val="00654B23"/>
    <w:rsid w:val="0065592A"/>
    <w:rsid w:val="00657758"/>
    <w:rsid w:val="00660BC7"/>
    <w:rsid w:val="00662027"/>
    <w:rsid w:val="006632A4"/>
    <w:rsid w:val="00663FEF"/>
    <w:rsid w:val="0066405B"/>
    <w:rsid w:val="006720CD"/>
    <w:rsid w:val="00673077"/>
    <w:rsid w:val="006821B3"/>
    <w:rsid w:val="00685CB3"/>
    <w:rsid w:val="00685FCE"/>
    <w:rsid w:val="0068711D"/>
    <w:rsid w:val="00687BD0"/>
    <w:rsid w:val="00693815"/>
    <w:rsid w:val="00695634"/>
    <w:rsid w:val="006A4D35"/>
    <w:rsid w:val="006A6005"/>
    <w:rsid w:val="006A6742"/>
    <w:rsid w:val="006B353F"/>
    <w:rsid w:val="006B699F"/>
    <w:rsid w:val="006C2446"/>
    <w:rsid w:val="006C29C9"/>
    <w:rsid w:val="006C32FE"/>
    <w:rsid w:val="006C3802"/>
    <w:rsid w:val="006C5FC5"/>
    <w:rsid w:val="006D0F5F"/>
    <w:rsid w:val="006D1D70"/>
    <w:rsid w:val="006D1DE4"/>
    <w:rsid w:val="006D6729"/>
    <w:rsid w:val="006D7664"/>
    <w:rsid w:val="006E17D5"/>
    <w:rsid w:val="006E2440"/>
    <w:rsid w:val="006E26AA"/>
    <w:rsid w:val="006E42F4"/>
    <w:rsid w:val="006E4849"/>
    <w:rsid w:val="006E4D3B"/>
    <w:rsid w:val="006E6667"/>
    <w:rsid w:val="006F114F"/>
    <w:rsid w:val="006F12BD"/>
    <w:rsid w:val="006F4AFB"/>
    <w:rsid w:val="006F6D01"/>
    <w:rsid w:val="00700253"/>
    <w:rsid w:val="0070236E"/>
    <w:rsid w:val="0071000D"/>
    <w:rsid w:val="0071029B"/>
    <w:rsid w:val="007117E2"/>
    <w:rsid w:val="007127A3"/>
    <w:rsid w:val="00712A0F"/>
    <w:rsid w:val="007155BC"/>
    <w:rsid w:val="00716717"/>
    <w:rsid w:val="00716791"/>
    <w:rsid w:val="00716BA2"/>
    <w:rsid w:val="00717CA6"/>
    <w:rsid w:val="00721BA1"/>
    <w:rsid w:val="00727733"/>
    <w:rsid w:val="00730DE7"/>
    <w:rsid w:val="00734468"/>
    <w:rsid w:val="007356C9"/>
    <w:rsid w:val="007363F6"/>
    <w:rsid w:val="00742AC8"/>
    <w:rsid w:val="0074583E"/>
    <w:rsid w:val="00746357"/>
    <w:rsid w:val="0075242D"/>
    <w:rsid w:val="007557C2"/>
    <w:rsid w:val="00756454"/>
    <w:rsid w:val="00756D69"/>
    <w:rsid w:val="007633E3"/>
    <w:rsid w:val="00765246"/>
    <w:rsid w:val="00766588"/>
    <w:rsid w:val="0077154A"/>
    <w:rsid w:val="0077220D"/>
    <w:rsid w:val="00772CEA"/>
    <w:rsid w:val="007768CF"/>
    <w:rsid w:val="007828C4"/>
    <w:rsid w:val="00783850"/>
    <w:rsid w:val="007853CD"/>
    <w:rsid w:val="0079038A"/>
    <w:rsid w:val="007912E6"/>
    <w:rsid w:val="007912F6"/>
    <w:rsid w:val="007918C9"/>
    <w:rsid w:val="0079602D"/>
    <w:rsid w:val="007A0AD9"/>
    <w:rsid w:val="007A4577"/>
    <w:rsid w:val="007A4A78"/>
    <w:rsid w:val="007A6DB6"/>
    <w:rsid w:val="007A71CD"/>
    <w:rsid w:val="007B0DF1"/>
    <w:rsid w:val="007B55A0"/>
    <w:rsid w:val="007B6E32"/>
    <w:rsid w:val="007C0A71"/>
    <w:rsid w:val="007C1615"/>
    <w:rsid w:val="007C1840"/>
    <w:rsid w:val="007C32CE"/>
    <w:rsid w:val="007D36EE"/>
    <w:rsid w:val="007D4B8E"/>
    <w:rsid w:val="007D5520"/>
    <w:rsid w:val="007E35D4"/>
    <w:rsid w:val="007E61EB"/>
    <w:rsid w:val="007E6561"/>
    <w:rsid w:val="007E6EE9"/>
    <w:rsid w:val="007F2C25"/>
    <w:rsid w:val="007F34A4"/>
    <w:rsid w:val="007F7378"/>
    <w:rsid w:val="008010EC"/>
    <w:rsid w:val="0080190D"/>
    <w:rsid w:val="00802E41"/>
    <w:rsid w:val="00803580"/>
    <w:rsid w:val="008042B9"/>
    <w:rsid w:val="00811DC4"/>
    <w:rsid w:val="00813626"/>
    <w:rsid w:val="00816F28"/>
    <w:rsid w:val="0082161B"/>
    <w:rsid w:val="008238D4"/>
    <w:rsid w:val="00826CED"/>
    <w:rsid w:val="00827B82"/>
    <w:rsid w:val="0083046E"/>
    <w:rsid w:val="0083050E"/>
    <w:rsid w:val="00834057"/>
    <w:rsid w:val="0084049B"/>
    <w:rsid w:val="0084076A"/>
    <w:rsid w:val="008430CF"/>
    <w:rsid w:val="00844015"/>
    <w:rsid w:val="0084542F"/>
    <w:rsid w:val="00846FAD"/>
    <w:rsid w:val="00847D73"/>
    <w:rsid w:val="008528FE"/>
    <w:rsid w:val="00855A47"/>
    <w:rsid w:val="008606BD"/>
    <w:rsid w:val="00862763"/>
    <w:rsid w:val="008637D2"/>
    <w:rsid w:val="00864FEA"/>
    <w:rsid w:val="00865C0A"/>
    <w:rsid w:val="0087173B"/>
    <w:rsid w:val="008718CA"/>
    <w:rsid w:val="0087546D"/>
    <w:rsid w:val="00876DE5"/>
    <w:rsid w:val="008779CD"/>
    <w:rsid w:val="00877AFC"/>
    <w:rsid w:val="00877E03"/>
    <w:rsid w:val="00884637"/>
    <w:rsid w:val="00884D14"/>
    <w:rsid w:val="00892408"/>
    <w:rsid w:val="00892D47"/>
    <w:rsid w:val="008A0131"/>
    <w:rsid w:val="008A2920"/>
    <w:rsid w:val="008A41AD"/>
    <w:rsid w:val="008B0554"/>
    <w:rsid w:val="008B31AC"/>
    <w:rsid w:val="008B5E10"/>
    <w:rsid w:val="008B6295"/>
    <w:rsid w:val="008C401F"/>
    <w:rsid w:val="008C5DD6"/>
    <w:rsid w:val="008C6B88"/>
    <w:rsid w:val="008C7628"/>
    <w:rsid w:val="008D29BA"/>
    <w:rsid w:val="008D6B47"/>
    <w:rsid w:val="008D70D2"/>
    <w:rsid w:val="008D7EDB"/>
    <w:rsid w:val="008E14B1"/>
    <w:rsid w:val="008E3068"/>
    <w:rsid w:val="008F01F2"/>
    <w:rsid w:val="008F2EDE"/>
    <w:rsid w:val="008F36E3"/>
    <w:rsid w:val="008F475E"/>
    <w:rsid w:val="008F4EE3"/>
    <w:rsid w:val="008F624C"/>
    <w:rsid w:val="00902359"/>
    <w:rsid w:val="00905393"/>
    <w:rsid w:val="0090638B"/>
    <w:rsid w:val="00906CE8"/>
    <w:rsid w:val="00907967"/>
    <w:rsid w:val="00911062"/>
    <w:rsid w:val="00911697"/>
    <w:rsid w:val="00915C37"/>
    <w:rsid w:val="00917386"/>
    <w:rsid w:val="009213AE"/>
    <w:rsid w:val="00924B9E"/>
    <w:rsid w:val="00927FD4"/>
    <w:rsid w:val="0093056E"/>
    <w:rsid w:val="00933CF0"/>
    <w:rsid w:val="00941BDB"/>
    <w:rsid w:val="00941CAA"/>
    <w:rsid w:val="00947D03"/>
    <w:rsid w:val="00947F42"/>
    <w:rsid w:val="00951618"/>
    <w:rsid w:val="00951756"/>
    <w:rsid w:val="00952E53"/>
    <w:rsid w:val="0095424D"/>
    <w:rsid w:val="009552B4"/>
    <w:rsid w:val="00956045"/>
    <w:rsid w:val="0096117D"/>
    <w:rsid w:val="00961386"/>
    <w:rsid w:val="009629E0"/>
    <w:rsid w:val="0096324C"/>
    <w:rsid w:val="00965B16"/>
    <w:rsid w:val="0096773A"/>
    <w:rsid w:val="00967DF8"/>
    <w:rsid w:val="00970F1B"/>
    <w:rsid w:val="00971F01"/>
    <w:rsid w:val="00975A76"/>
    <w:rsid w:val="009769D4"/>
    <w:rsid w:val="00976E67"/>
    <w:rsid w:val="00980114"/>
    <w:rsid w:val="00984AAE"/>
    <w:rsid w:val="00984E22"/>
    <w:rsid w:val="00984EAC"/>
    <w:rsid w:val="00986B2F"/>
    <w:rsid w:val="00986C1C"/>
    <w:rsid w:val="00986EF7"/>
    <w:rsid w:val="009872B4"/>
    <w:rsid w:val="0099167F"/>
    <w:rsid w:val="0099296B"/>
    <w:rsid w:val="009945EF"/>
    <w:rsid w:val="009969E7"/>
    <w:rsid w:val="00996B49"/>
    <w:rsid w:val="009A1CF4"/>
    <w:rsid w:val="009A1E21"/>
    <w:rsid w:val="009A2269"/>
    <w:rsid w:val="009A3B09"/>
    <w:rsid w:val="009A49AC"/>
    <w:rsid w:val="009A64E5"/>
    <w:rsid w:val="009A652F"/>
    <w:rsid w:val="009A6F53"/>
    <w:rsid w:val="009B2B7D"/>
    <w:rsid w:val="009B50F9"/>
    <w:rsid w:val="009B514D"/>
    <w:rsid w:val="009B5903"/>
    <w:rsid w:val="009B5FD8"/>
    <w:rsid w:val="009C0E47"/>
    <w:rsid w:val="009C1072"/>
    <w:rsid w:val="009C25FB"/>
    <w:rsid w:val="009C28E9"/>
    <w:rsid w:val="009D1B25"/>
    <w:rsid w:val="009D3666"/>
    <w:rsid w:val="009E45B2"/>
    <w:rsid w:val="009E5BC6"/>
    <w:rsid w:val="009E5CD2"/>
    <w:rsid w:val="009E5CF7"/>
    <w:rsid w:val="009F1028"/>
    <w:rsid w:val="009F1458"/>
    <w:rsid w:val="009F163D"/>
    <w:rsid w:val="009F27F8"/>
    <w:rsid w:val="009F3444"/>
    <w:rsid w:val="009F3FC0"/>
    <w:rsid w:val="009F407C"/>
    <w:rsid w:val="009F47E8"/>
    <w:rsid w:val="009F5FA6"/>
    <w:rsid w:val="00A02D04"/>
    <w:rsid w:val="00A0372D"/>
    <w:rsid w:val="00A05474"/>
    <w:rsid w:val="00A06A37"/>
    <w:rsid w:val="00A111B5"/>
    <w:rsid w:val="00A121A3"/>
    <w:rsid w:val="00A14F07"/>
    <w:rsid w:val="00A20F7E"/>
    <w:rsid w:val="00A21B52"/>
    <w:rsid w:val="00A2222D"/>
    <w:rsid w:val="00A250FC"/>
    <w:rsid w:val="00A252E3"/>
    <w:rsid w:val="00A254FC"/>
    <w:rsid w:val="00A279BB"/>
    <w:rsid w:val="00A27F0E"/>
    <w:rsid w:val="00A3146D"/>
    <w:rsid w:val="00A321B9"/>
    <w:rsid w:val="00A33109"/>
    <w:rsid w:val="00A36354"/>
    <w:rsid w:val="00A41BB6"/>
    <w:rsid w:val="00A45419"/>
    <w:rsid w:val="00A466C4"/>
    <w:rsid w:val="00A4776F"/>
    <w:rsid w:val="00A47CD0"/>
    <w:rsid w:val="00A54A31"/>
    <w:rsid w:val="00A55BFA"/>
    <w:rsid w:val="00A5728C"/>
    <w:rsid w:val="00A60D0A"/>
    <w:rsid w:val="00A624E3"/>
    <w:rsid w:val="00A626BA"/>
    <w:rsid w:val="00A632E4"/>
    <w:rsid w:val="00A713F3"/>
    <w:rsid w:val="00A750B6"/>
    <w:rsid w:val="00A805A6"/>
    <w:rsid w:val="00A847C8"/>
    <w:rsid w:val="00A94234"/>
    <w:rsid w:val="00AA3455"/>
    <w:rsid w:val="00AA4703"/>
    <w:rsid w:val="00AA5B7F"/>
    <w:rsid w:val="00AB20C7"/>
    <w:rsid w:val="00AB70CA"/>
    <w:rsid w:val="00AB7210"/>
    <w:rsid w:val="00AB79B1"/>
    <w:rsid w:val="00AC0702"/>
    <w:rsid w:val="00AC5A59"/>
    <w:rsid w:val="00AC5DBB"/>
    <w:rsid w:val="00AC68BC"/>
    <w:rsid w:val="00AC6F79"/>
    <w:rsid w:val="00AD07D2"/>
    <w:rsid w:val="00AD3193"/>
    <w:rsid w:val="00AE0403"/>
    <w:rsid w:val="00AE0EE9"/>
    <w:rsid w:val="00AE27D4"/>
    <w:rsid w:val="00AE3E9C"/>
    <w:rsid w:val="00AE477F"/>
    <w:rsid w:val="00AE643C"/>
    <w:rsid w:val="00AE74C6"/>
    <w:rsid w:val="00AF5FED"/>
    <w:rsid w:val="00AF68BC"/>
    <w:rsid w:val="00AF7F1A"/>
    <w:rsid w:val="00B02E61"/>
    <w:rsid w:val="00B04745"/>
    <w:rsid w:val="00B14C44"/>
    <w:rsid w:val="00B14F1D"/>
    <w:rsid w:val="00B17DFB"/>
    <w:rsid w:val="00B20B10"/>
    <w:rsid w:val="00B2517F"/>
    <w:rsid w:val="00B25971"/>
    <w:rsid w:val="00B3127B"/>
    <w:rsid w:val="00B33DCD"/>
    <w:rsid w:val="00B35E36"/>
    <w:rsid w:val="00B37492"/>
    <w:rsid w:val="00B3762E"/>
    <w:rsid w:val="00B4084F"/>
    <w:rsid w:val="00B410AD"/>
    <w:rsid w:val="00B4117D"/>
    <w:rsid w:val="00B45148"/>
    <w:rsid w:val="00B451AA"/>
    <w:rsid w:val="00B47134"/>
    <w:rsid w:val="00B50DCD"/>
    <w:rsid w:val="00B66774"/>
    <w:rsid w:val="00B678F6"/>
    <w:rsid w:val="00B70AB2"/>
    <w:rsid w:val="00B7280E"/>
    <w:rsid w:val="00B7608D"/>
    <w:rsid w:val="00B8148A"/>
    <w:rsid w:val="00B823E1"/>
    <w:rsid w:val="00B82AC9"/>
    <w:rsid w:val="00B87889"/>
    <w:rsid w:val="00B9028A"/>
    <w:rsid w:val="00B9153F"/>
    <w:rsid w:val="00B91CD8"/>
    <w:rsid w:val="00B941B8"/>
    <w:rsid w:val="00B9689C"/>
    <w:rsid w:val="00B96ECB"/>
    <w:rsid w:val="00B97DA2"/>
    <w:rsid w:val="00BA0115"/>
    <w:rsid w:val="00BA1C46"/>
    <w:rsid w:val="00BA1D35"/>
    <w:rsid w:val="00BA2929"/>
    <w:rsid w:val="00BA2E37"/>
    <w:rsid w:val="00BA46D7"/>
    <w:rsid w:val="00BA6250"/>
    <w:rsid w:val="00BA7136"/>
    <w:rsid w:val="00BA7268"/>
    <w:rsid w:val="00BA776A"/>
    <w:rsid w:val="00BA7A90"/>
    <w:rsid w:val="00BA7C0E"/>
    <w:rsid w:val="00BB0A7B"/>
    <w:rsid w:val="00BB2DB5"/>
    <w:rsid w:val="00BB4A8E"/>
    <w:rsid w:val="00BB5369"/>
    <w:rsid w:val="00BB5F5F"/>
    <w:rsid w:val="00BB62D5"/>
    <w:rsid w:val="00BC2B04"/>
    <w:rsid w:val="00BC3509"/>
    <w:rsid w:val="00BC3671"/>
    <w:rsid w:val="00BC69F7"/>
    <w:rsid w:val="00BD3B8F"/>
    <w:rsid w:val="00BE24B4"/>
    <w:rsid w:val="00BE5F8D"/>
    <w:rsid w:val="00BF1E64"/>
    <w:rsid w:val="00C003EB"/>
    <w:rsid w:val="00C0283A"/>
    <w:rsid w:val="00C05563"/>
    <w:rsid w:val="00C05857"/>
    <w:rsid w:val="00C07C8A"/>
    <w:rsid w:val="00C114A9"/>
    <w:rsid w:val="00C1235C"/>
    <w:rsid w:val="00C12E4A"/>
    <w:rsid w:val="00C1499E"/>
    <w:rsid w:val="00C14E9C"/>
    <w:rsid w:val="00C162B3"/>
    <w:rsid w:val="00C26E9D"/>
    <w:rsid w:val="00C31A91"/>
    <w:rsid w:val="00C326A8"/>
    <w:rsid w:val="00C33FAD"/>
    <w:rsid w:val="00C467F4"/>
    <w:rsid w:val="00C46A5B"/>
    <w:rsid w:val="00C46ECF"/>
    <w:rsid w:val="00C51C52"/>
    <w:rsid w:val="00C52102"/>
    <w:rsid w:val="00C53BD3"/>
    <w:rsid w:val="00C6203F"/>
    <w:rsid w:val="00C656F8"/>
    <w:rsid w:val="00C67166"/>
    <w:rsid w:val="00C72C12"/>
    <w:rsid w:val="00C72EB1"/>
    <w:rsid w:val="00C75087"/>
    <w:rsid w:val="00C771DC"/>
    <w:rsid w:val="00C77767"/>
    <w:rsid w:val="00C8172D"/>
    <w:rsid w:val="00C81818"/>
    <w:rsid w:val="00C83F8E"/>
    <w:rsid w:val="00C840AF"/>
    <w:rsid w:val="00C86844"/>
    <w:rsid w:val="00C903B7"/>
    <w:rsid w:val="00C931C1"/>
    <w:rsid w:val="00C952EA"/>
    <w:rsid w:val="00CA37B7"/>
    <w:rsid w:val="00CA4989"/>
    <w:rsid w:val="00CA64DB"/>
    <w:rsid w:val="00CB128C"/>
    <w:rsid w:val="00CB45B8"/>
    <w:rsid w:val="00CB70BB"/>
    <w:rsid w:val="00CC2047"/>
    <w:rsid w:val="00CD404A"/>
    <w:rsid w:val="00CD4F5C"/>
    <w:rsid w:val="00CE081A"/>
    <w:rsid w:val="00CE0B20"/>
    <w:rsid w:val="00CE1CAA"/>
    <w:rsid w:val="00CE390D"/>
    <w:rsid w:val="00CE6A21"/>
    <w:rsid w:val="00CF2533"/>
    <w:rsid w:val="00CF2559"/>
    <w:rsid w:val="00CF2F6E"/>
    <w:rsid w:val="00CF3DF0"/>
    <w:rsid w:val="00CF62D5"/>
    <w:rsid w:val="00D0240E"/>
    <w:rsid w:val="00D03FA7"/>
    <w:rsid w:val="00D072C2"/>
    <w:rsid w:val="00D072C8"/>
    <w:rsid w:val="00D1063A"/>
    <w:rsid w:val="00D10F53"/>
    <w:rsid w:val="00D13C8E"/>
    <w:rsid w:val="00D17EB0"/>
    <w:rsid w:val="00D3145E"/>
    <w:rsid w:val="00D42EC2"/>
    <w:rsid w:val="00D5220D"/>
    <w:rsid w:val="00D526ED"/>
    <w:rsid w:val="00D526F6"/>
    <w:rsid w:val="00D548F9"/>
    <w:rsid w:val="00D633B7"/>
    <w:rsid w:val="00D646B9"/>
    <w:rsid w:val="00D65A91"/>
    <w:rsid w:val="00D65DDC"/>
    <w:rsid w:val="00D65F64"/>
    <w:rsid w:val="00D66443"/>
    <w:rsid w:val="00D71D47"/>
    <w:rsid w:val="00D72289"/>
    <w:rsid w:val="00D73636"/>
    <w:rsid w:val="00D76683"/>
    <w:rsid w:val="00D800BB"/>
    <w:rsid w:val="00D80108"/>
    <w:rsid w:val="00D802A7"/>
    <w:rsid w:val="00D8335B"/>
    <w:rsid w:val="00D83487"/>
    <w:rsid w:val="00D845E7"/>
    <w:rsid w:val="00D87BDB"/>
    <w:rsid w:val="00D91807"/>
    <w:rsid w:val="00D91E61"/>
    <w:rsid w:val="00D9434D"/>
    <w:rsid w:val="00D96445"/>
    <w:rsid w:val="00DA2814"/>
    <w:rsid w:val="00DA343B"/>
    <w:rsid w:val="00DA3D20"/>
    <w:rsid w:val="00DB2AC7"/>
    <w:rsid w:val="00DB2D00"/>
    <w:rsid w:val="00DB6035"/>
    <w:rsid w:val="00DB7645"/>
    <w:rsid w:val="00DC17DF"/>
    <w:rsid w:val="00DC1C8F"/>
    <w:rsid w:val="00DC4E1A"/>
    <w:rsid w:val="00DC6506"/>
    <w:rsid w:val="00DC6B75"/>
    <w:rsid w:val="00DC70CD"/>
    <w:rsid w:val="00DC728B"/>
    <w:rsid w:val="00DD05CB"/>
    <w:rsid w:val="00DD4181"/>
    <w:rsid w:val="00DE02FF"/>
    <w:rsid w:val="00DE0C81"/>
    <w:rsid w:val="00DE4671"/>
    <w:rsid w:val="00DE517D"/>
    <w:rsid w:val="00DE5B6E"/>
    <w:rsid w:val="00DE7C02"/>
    <w:rsid w:val="00DF0213"/>
    <w:rsid w:val="00DF0E2E"/>
    <w:rsid w:val="00DF120F"/>
    <w:rsid w:val="00DF22CF"/>
    <w:rsid w:val="00DF4076"/>
    <w:rsid w:val="00DF735B"/>
    <w:rsid w:val="00E01077"/>
    <w:rsid w:val="00E0302A"/>
    <w:rsid w:val="00E04B6D"/>
    <w:rsid w:val="00E102CA"/>
    <w:rsid w:val="00E109D4"/>
    <w:rsid w:val="00E23BA1"/>
    <w:rsid w:val="00E24C5C"/>
    <w:rsid w:val="00E26710"/>
    <w:rsid w:val="00E303E0"/>
    <w:rsid w:val="00E337CE"/>
    <w:rsid w:val="00E33A22"/>
    <w:rsid w:val="00E34677"/>
    <w:rsid w:val="00E37519"/>
    <w:rsid w:val="00E375E9"/>
    <w:rsid w:val="00E416FF"/>
    <w:rsid w:val="00E430BA"/>
    <w:rsid w:val="00E433F4"/>
    <w:rsid w:val="00E44369"/>
    <w:rsid w:val="00E450A7"/>
    <w:rsid w:val="00E45BD2"/>
    <w:rsid w:val="00E463CD"/>
    <w:rsid w:val="00E543D0"/>
    <w:rsid w:val="00E566A9"/>
    <w:rsid w:val="00E60FB6"/>
    <w:rsid w:val="00E704CC"/>
    <w:rsid w:val="00E70B48"/>
    <w:rsid w:val="00E70E81"/>
    <w:rsid w:val="00E71BF3"/>
    <w:rsid w:val="00E728B5"/>
    <w:rsid w:val="00E73F95"/>
    <w:rsid w:val="00E8022F"/>
    <w:rsid w:val="00E802D9"/>
    <w:rsid w:val="00E83A74"/>
    <w:rsid w:val="00E85B42"/>
    <w:rsid w:val="00E90B37"/>
    <w:rsid w:val="00E92692"/>
    <w:rsid w:val="00E965A5"/>
    <w:rsid w:val="00EA2095"/>
    <w:rsid w:val="00EA590B"/>
    <w:rsid w:val="00EA6250"/>
    <w:rsid w:val="00EA6542"/>
    <w:rsid w:val="00EA667D"/>
    <w:rsid w:val="00EA7352"/>
    <w:rsid w:val="00EB0743"/>
    <w:rsid w:val="00EB45C1"/>
    <w:rsid w:val="00EB563C"/>
    <w:rsid w:val="00EC1FE1"/>
    <w:rsid w:val="00EC614A"/>
    <w:rsid w:val="00EC7A5A"/>
    <w:rsid w:val="00ED0592"/>
    <w:rsid w:val="00ED0B49"/>
    <w:rsid w:val="00ED16BD"/>
    <w:rsid w:val="00ED3B29"/>
    <w:rsid w:val="00ED3B5F"/>
    <w:rsid w:val="00ED78E5"/>
    <w:rsid w:val="00ED79A0"/>
    <w:rsid w:val="00EE2758"/>
    <w:rsid w:val="00EE5286"/>
    <w:rsid w:val="00EE7ECE"/>
    <w:rsid w:val="00EF1B7D"/>
    <w:rsid w:val="00EF49CB"/>
    <w:rsid w:val="00EF50C6"/>
    <w:rsid w:val="00EF7BA7"/>
    <w:rsid w:val="00EF7F3E"/>
    <w:rsid w:val="00F0124F"/>
    <w:rsid w:val="00F01F82"/>
    <w:rsid w:val="00F026C9"/>
    <w:rsid w:val="00F03319"/>
    <w:rsid w:val="00F11C7A"/>
    <w:rsid w:val="00F13E1F"/>
    <w:rsid w:val="00F15380"/>
    <w:rsid w:val="00F17299"/>
    <w:rsid w:val="00F17E73"/>
    <w:rsid w:val="00F27621"/>
    <w:rsid w:val="00F3254B"/>
    <w:rsid w:val="00F35237"/>
    <w:rsid w:val="00F36A0C"/>
    <w:rsid w:val="00F43F5D"/>
    <w:rsid w:val="00F46AC0"/>
    <w:rsid w:val="00F549FC"/>
    <w:rsid w:val="00F55C7D"/>
    <w:rsid w:val="00F56830"/>
    <w:rsid w:val="00F611DC"/>
    <w:rsid w:val="00F61AA2"/>
    <w:rsid w:val="00F627FE"/>
    <w:rsid w:val="00F64CFD"/>
    <w:rsid w:val="00F65FDB"/>
    <w:rsid w:val="00F7079C"/>
    <w:rsid w:val="00F73D57"/>
    <w:rsid w:val="00F8073D"/>
    <w:rsid w:val="00F80B90"/>
    <w:rsid w:val="00F823BB"/>
    <w:rsid w:val="00F8365D"/>
    <w:rsid w:val="00F851A6"/>
    <w:rsid w:val="00F85D20"/>
    <w:rsid w:val="00F87387"/>
    <w:rsid w:val="00F87B47"/>
    <w:rsid w:val="00F915A7"/>
    <w:rsid w:val="00F91D34"/>
    <w:rsid w:val="00FA2AB1"/>
    <w:rsid w:val="00FA6EFB"/>
    <w:rsid w:val="00FA7101"/>
    <w:rsid w:val="00FB362E"/>
    <w:rsid w:val="00FB4337"/>
    <w:rsid w:val="00FB5C28"/>
    <w:rsid w:val="00FB62D4"/>
    <w:rsid w:val="00FC1DD8"/>
    <w:rsid w:val="00FC2AD1"/>
    <w:rsid w:val="00FC7821"/>
    <w:rsid w:val="00FD0080"/>
    <w:rsid w:val="00FD0D40"/>
    <w:rsid w:val="00FD2D3F"/>
    <w:rsid w:val="00FD685A"/>
    <w:rsid w:val="00FD7DCB"/>
    <w:rsid w:val="00FD7F92"/>
    <w:rsid w:val="00FE04A4"/>
    <w:rsid w:val="00FE1B20"/>
    <w:rsid w:val="00FF10CD"/>
    <w:rsid w:val="00FF10EB"/>
    <w:rsid w:val="00FF1307"/>
    <w:rsid w:val="00FF4879"/>
    <w:rsid w:val="096C4104"/>
    <w:rsid w:val="0BEC94AA"/>
    <w:rsid w:val="0D53ACD4"/>
    <w:rsid w:val="1F8E92BE"/>
    <w:rsid w:val="262F7D60"/>
    <w:rsid w:val="2DD4E0EC"/>
    <w:rsid w:val="2F38E935"/>
    <w:rsid w:val="36279B5B"/>
    <w:rsid w:val="40309801"/>
    <w:rsid w:val="451A2AFD"/>
    <w:rsid w:val="51329ECA"/>
    <w:rsid w:val="5655BB76"/>
    <w:rsid w:val="5DDFBE5F"/>
    <w:rsid w:val="5F2A8F80"/>
    <w:rsid w:val="65ED6336"/>
    <w:rsid w:val="683E1A5A"/>
    <w:rsid w:val="6AC211CB"/>
    <w:rsid w:val="6C835B14"/>
    <w:rsid w:val="6C8A39B4"/>
    <w:rsid w:val="704B1930"/>
    <w:rsid w:val="74B79A09"/>
    <w:rsid w:val="7521D3C5"/>
    <w:rsid w:val="7796A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83D610"/>
  <w15:chartTrackingRefBased/>
  <w15:docId w15:val="{DA7A75A1-D096-47D1-8D8D-FE9E91E47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9B1"/>
    <w:pPr>
      <w:tabs>
        <w:tab w:val="left" w:pos="567"/>
        <w:tab w:val="left" w:pos="1418"/>
        <w:tab w:val="left" w:pos="1843"/>
      </w:tabs>
      <w:spacing w:after="240" w:line="240" w:lineRule="auto"/>
    </w:pPr>
    <w:rPr>
      <w:rFonts w:ascii="Arial" w:hAnsi="Arial"/>
      <w:color w:val="000000" w:themeColor="text1"/>
      <w:sz w:val="24"/>
    </w:rPr>
  </w:style>
  <w:style w:type="paragraph" w:styleId="Heading1">
    <w:name w:val="heading 1"/>
    <w:next w:val="Normal"/>
    <w:link w:val="Heading1Char"/>
    <w:uiPriority w:val="9"/>
    <w:qFormat/>
    <w:rsid w:val="003A6159"/>
    <w:pPr>
      <w:keepNext/>
      <w:keepLines/>
      <w:spacing w:before="480" w:after="480"/>
      <w:outlineLvl w:val="0"/>
    </w:pPr>
    <w:rPr>
      <w:rFonts w:ascii="Arial" w:eastAsiaTheme="majorEastAsia" w:hAnsi="Arial" w:cstheme="majorBidi"/>
      <w:b/>
      <w:color w:val="005EB8"/>
      <w:sz w:val="40"/>
      <w:szCs w:val="32"/>
    </w:rPr>
  </w:style>
  <w:style w:type="paragraph" w:styleId="Heading2">
    <w:name w:val="heading 2"/>
    <w:basedOn w:val="Normal"/>
    <w:next w:val="Normal"/>
    <w:link w:val="Heading2Char"/>
    <w:uiPriority w:val="9"/>
    <w:unhideWhenUsed/>
    <w:qFormat/>
    <w:rsid w:val="00F17299"/>
    <w:pPr>
      <w:keepNext/>
      <w:keepLines/>
      <w:numPr>
        <w:numId w:val="4"/>
      </w:numPr>
      <w:spacing w:before="360"/>
      <w:outlineLvl w:val="1"/>
    </w:pPr>
    <w:rPr>
      <w:rFonts w:eastAsiaTheme="majorEastAsia" w:cstheme="majorBidi"/>
      <w:b/>
      <w:color w:val="003087"/>
      <w:sz w:val="32"/>
      <w:szCs w:val="26"/>
    </w:rPr>
  </w:style>
  <w:style w:type="paragraph" w:styleId="Heading3">
    <w:name w:val="heading 3"/>
    <w:basedOn w:val="Normal"/>
    <w:next w:val="Normal"/>
    <w:link w:val="Heading3Char"/>
    <w:uiPriority w:val="9"/>
    <w:unhideWhenUsed/>
    <w:qFormat/>
    <w:rsid w:val="005E4105"/>
    <w:pPr>
      <w:keepNext/>
      <w:keepLines/>
      <w:spacing w:before="240" w:after="12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C90"/>
    <w:pPr>
      <w:tabs>
        <w:tab w:val="center" w:pos="4513"/>
        <w:tab w:val="right" w:pos="9026"/>
      </w:tabs>
      <w:spacing w:after="0"/>
    </w:pPr>
  </w:style>
  <w:style w:type="character" w:customStyle="1" w:styleId="HeaderChar">
    <w:name w:val="Header Char"/>
    <w:basedOn w:val="DefaultParagraphFont"/>
    <w:link w:val="Header"/>
    <w:uiPriority w:val="99"/>
    <w:rsid w:val="00364C90"/>
  </w:style>
  <w:style w:type="paragraph" w:styleId="Footer">
    <w:name w:val="footer"/>
    <w:basedOn w:val="Normal"/>
    <w:link w:val="FooterChar"/>
    <w:uiPriority w:val="99"/>
    <w:unhideWhenUsed/>
    <w:rsid w:val="00364C90"/>
    <w:pPr>
      <w:tabs>
        <w:tab w:val="center" w:pos="4513"/>
        <w:tab w:val="right" w:pos="9026"/>
      </w:tabs>
      <w:spacing w:after="0"/>
    </w:pPr>
  </w:style>
  <w:style w:type="character" w:customStyle="1" w:styleId="FooterChar">
    <w:name w:val="Footer Char"/>
    <w:basedOn w:val="DefaultParagraphFont"/>
    <w:link w:val="Footer"/>
    <w:uiPriority w:val="99"/>
    <w:rsid w:val="00364C90"/>
  </w:style>
  <w:style w:type="character" w:customStyle="1" w:styleId="Heading1Char">
    <w:name w:val="Heading 1 Char"/>
    <w:basedOn w:val="DefaultParagraphFont"/>
    <w:link w:val="Heading1"/>
    <w:uiPriority w:val="9"/>
    <w:rsid w:val="003A6159"/>
    <w:rPr>
      <w:rFonts w:ascii="Arial" w:eastAsiaTheme="majorEastAsia" w:hAnsi="Arial" w:cstheme="majorBidi"/>
      <w:b/>
      <w:color w:val="005EB8"/>
      <w:sz w:val="40"/>
      <w:szCs w:val="32"/>
    </w:rPr>
  </w:style>
  <w:style w:type="character" w:customStyle="1" w:styleId="Heading2Char">
    <w:name w:val="Heading 2 Char"/>
    <w:basedOn w:val="DefaultParagraphFont"/>
    <w:link w:val="Heading2"/>
    <w:uiPriority w:val="9"/>
    <w:rsid w:val="00F17299"/>
    <w:rPr>
      <w:rFonts w:ascii="Arial" w:eastAsiaTheme="majorEastAsia" w:hAnsi="Arial" w:cstheme="majorBidi"/>
      <w:b/>
      <w:color w:val="003087"/>
      <w:sz w:val="32"/>
      <w:szCs w:val="26"/>
    </w:rPr>
  </w:style>
  <w:style w:type="character" w:customStyle="1" w:styleId="Heading3Char">
    <w:name w:val="Heading 3 Char"/>
    <w:basedOn w:val="DefaultParagraphFont"/>
    <w:link w:val="Heading3"/>
    <w:uiPriority w:val="9"/>
    <w:rsid w:val="005E4105"/>
    <w:rPr>
      <w:rFonts w:ascii="Arial" w:eastAsiaTheme="majorEastAsia" w:hAnsi="Arial" w:cstheme="majorBidi"/>
      <w:b/>
      <w:color w:val="000000" w:themeColor="text1"/>
      <w:sz w:val="28"/>
      <w:szCs w:val="24"/>
    </w:rPr>
  </w:style>
  <w:style w:type="paragraph" w:styleId="ListParagraph">
    <w:name w:val="List Paragraph"/>
    <w:basedOn w:val="Normal"/>
    <w:link w:val="ListParagraphChar"/>
    <w:uiPriority w:val="34"/>
    <w:qFormat/>
    <w:rsid w:val="00CE0B20"/>
    <w:pPr>
      <w:numPr>
        <w:numId w:val="1"/>
      </w:numPr>
      <w:spacing w:after="120"/>
      <w:ind w:left="357" w:hanging="357"/>
    </w:pPr>
  </w:style>
  <w:style w:type="paragraph" w:customStyle="1" w:styleId="Bullet">
    <w:name w:val="Bullet"/>
    <w:basedOn w:val="ListParagraph"/>
    <w:link w:val="BulletChar"/>
    <w:qFormat/>
    <w:rsid w:val="009A2269"/>
    <w:pPr>
      <w:ind w:left="924"/>
    </w:pPr>
  </w:style>
  <w:style w:type="numbering" w:customStyle="1" w:styleId="Headings2">
    <w:name w:val="Headings 2"/>
    <w:uiPriority w:val="99"/>
    <w:rsid w:val="000B6BAA"/>
    <w:pPr>
      <w:numPr>
        <w:numId w:val="2"/>
      </w:numPr>
    </w:pPr>
  </w:style>
  <w:style w:type="character" w:customStyle="1" w:styleId="ListParagraphChar">
    <w:name w:val="List Paragraph Char"/>
    <w:basedOn w:val="DefaultParagraphFont"/>
    <w:link w:val="ListParagraph"/>
    <w:uiPriority w:val="34"/>
    <w:rsid w:val="00CE0B20"/>
    <w:rPr>
      <w:rFonts w:ascii="Arial" w:hAnsi="Arial"/>
      <w:color w:val="000000" w:themeColor="text1"/>
      <w:sz w:val="24"/>
    </w:rPr>
  </w:style>
  <w:style w:type="character" w:customStyle="1" w:styleId="BulletChar">
    <w:name w:val="Bullet Char"/>
    <w:basedOn w:val="ListParagraphChar"/>
    <w:link w:val="Bullet"/>
    <w:rsid w:val="009A2269"/>
    <w:rPr>
      <w:rFonts w:ascii="Arial" w:hAnsi="Arial"/>
      <w:color w:val="000000" w:themeColor="text1"/>
      <w:sz w:val="24"/>
    </w:rPr>
  </w:style>
  <w:style w:type="paragraph" w:customStyle="1" w:styleId="Sub-clauselevel2">
    <w:name w:val="Sub-clause (level 2)"/>
    <w:basedOn w:val="Normal"/>
    <w:qFormat/>
    <w:rsid w:val="00AB79B1"/>
    <w:pPr>
      <w:numPr>
        <w:ilvl w:val="2"/>
        <w:numId w:val="4"/>
      </w:numPr>
      <w:spacing w:after="120"/>
    </w:pPr>
  </w:style>
  <w:style w:type="numbering" w:customStyle="1" w:styleId="Levelone">
    <w:name w:val="Level one"/>
    <w:uiPriority w:val="99"/>
    <w:rsid w:val="00C77767"/>
    <w:pPr>
      <w:numPr>
        <w:numId w:val="3"/>
      </w:numPr>
    </w:pPr>
  </w:style>
  <w:style w:type="paragraph" w:customStyle="1" w:styleId="Clauselevel1">
    <w:name w:val="Clause level 1"/>
    <w:basedOn w:val="Normal"/>
    <w:link w:val="Clauselevel1Char"/>
    <w:qFormat/>
    <w:rsid w:val="00E543D0"/>
    <w:pPr>
      <w:numPr>
        <w:ilvl w:val="1"/>
        <w:numId w:val="4"/>
      </w:numPr>
    </w:pPr>
  </w:style>
  <w:style w:type="character" w:styleId="CommentReference">
    <w:name w:val="annotation reference"/>
    <w:uiPriority w:val="99"/>
    <w:semiHidden/>
    <w:rsid w:val="003E4742"/>
    <w:rPr>
      <w:sz w:val="16"/>
      <w:szCs w:val="16"/>
    </w:rPr>
  </w:style>
  <w:style w:type="character" w:customStyle="1" w:styleId="Clauselevel1Char">
    <w:name w:val="Clause level 1 Char"/>
    <w:basedOn w:val="DefaultParagraphFont"/>
    <w:link w:val="Clauselevel1"/>
    <w:rsid w:val="00E543D0"/>
    <w:rPr>
      <w:rFonts w:ascii="Arial" w:hAnsi="Arial"/>
      <w:color w:val="000000" w:themeColor="text1"/>
      <w:sz w:val="24"/>
    </w:rPr>
  </w:style>
  <w:style w:type="paragraph" w:styleId="CommentText">
    <w:name w:val="annotation text"/>
    <w:basedOn w:val="Normal"/>
    <w:link w:val="CommentTextChar"/>
    <w:uiPriority w:val="99"/>
    <w:semiHidden/>
    <w:rsid w:val="003E4742"/>
    <w:pPr>
      <w:widowControl w:val="0"/>
      <w:spacing w:after="0"/>
      <w:jc w:val="both"/>
    </w:pPr>
    <w:rPr>
      <w:rFonts w:eastAsia="Times New Roman" w:cs="Times New Roman"/>
      <w:color w:val="auto"/>
      <w:sz w:val="20"/>
      <w:szCs w:val="20"/>
    </w:rPr>
  </w:style>
  <w:style w:type="character" w:customStyle="1" w:styleId="CommentTextChar">
    <w:name w:val="Comment Text Char"/>
    <w:basedOn w:val="DefaultParagraphFont"/>
    <w:link w:val="CommentText"/>
    <w:uiPriority w:val="99"/>
    <w:semiHidden/>
    <w:rsid w:val="003E4742"/>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3E474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742"/>
    <w:rPr>
      <w:rFonts w:ascii="Segoe UI" w:hAnsi="Segoe UI" w:cs="Segoe UI"/>
      <w:color w:val="000000" w:themeColor="text1"/>
      <w:sz w:val="18"/>
      <w:szCs w:val="18"/>
    </w:rPr>
  </w:style>
  <w:style w:type="paragraph" w:customStyle="1" w:styleId="Sub-Bullet">
    <w:name w:val="Sub-Bullet"/>
    <w:basedOn w:val="Bullet"/>
    <w:link w:val="Sub-BulletChar"/>
    <w:qFormat/>
    <w:rsid w:val="00FB362E"/>
    <w:pPr>
      <w:numPr>
        <w:numId w:val="6"/>
      </w:numPr>
    </w:pPr>
  </w:style>
  <w:style w:type="character" w:customStyle="1" w:styleId="Sub-BulletChar">
    <w:name w:val="Sub-Bullet Char"/>
    <w:basedOn w:val="BulletChar"/>
    <w:link w:val="Sub-Bullet"/>
    <w:rsid w:val="00FB362E"/>
    <w:rPr>
      <w:rFonts w:ascii="Arial" w:hAnsi="Arial"/>
      <w:color w:val="000000" w:themeColor="text1"/>
      <w:sz w:val="24"/>
    </w:rPr>
  </w:style>
  <w:style w:type="character" w:styleId="Hyperlink">
    <w:name w:val="Hyperlink"/>
    <w:basedOn w:val="DefaultParagraphFont"/>
    <w:uiPriority w:val="99"/>
    <w:unhideWhenUsed/>
    <w:rsid w:val="00EA7352"/>
    <w:rPr>
      <w:color w:val="0563C1" w:themeColor="hyperlink"/>
      <w:u w:val="single"/>
    </w:rPr>
  </w:style>
  <w:style w:type="paragraph" w:customStyle="1" w:styleId="Sub-clauselevel3">
    <w:name w:val="Sub-clause (level 3)"/>
    <w:basedOn w:val="Sub-Bullet"/>
    <w:link w:val="Sub-clauselevel3Char"/>
    <w:qFormat/>
    <w:rsid w:val="00174D3E"/>
    <w:pPr>
      <w:numPr>
        <w:numId w:val="7"/>
      </w:numPr>
      <w:ind w:left="1843" w:hanging="425"/>
    </w:pPr>
  </w:style>
  <w:style w:type="paragraph" w:customStyle="1" w:styleId="Sub-clauselevel4">
    <w:name w:val="Sub-clause (level 4)"/>
    <w:basedOn w:val="Sub-clauselevel3"/>
    <w:link w:val="Sub-clauselevel4Char"/>
    <w:qFormat/>
    <w:rsid w:val="00AB79B1"/>
    <w:pPr>
      <w:numPr>
        <w:numId w:val="9"/>
      </w:numPr>
      <w:ind w:left="2268" w:hanging="425"/>
    </w:pPr>
  </w:style>
  <w:style w:type="character" w:customStyle="1" w:styleId="Sub-clauselevel3Char">
    <w:name w:val="Sub-clause (level 3) Char"/>
    <w:basedOn w:val="Sub-BulletChar"/>
    <w:link w:val="Sub-clauselevel3"/>
    <w:rsid w:val="00174D3E"/>
    <w:rPr>
      <w:rFonts w:ascii="Arial" w:hAnsi="Arial"/>
      <w:color w:val="000000" w:themeColor="text1"/>
      <w:sz w:val="24"/>
    </w:rPr>
  </w:style>
  <w:style w:type="table" w:styleId="TableGrid">
    <w:name w:val="Table Grid"/>
    <w:basedOn w:val="TableNormal"/>
    <w:uiPriority w:val="39"/>
    <w:rsid w:val="00633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clauselevel4Char">
    <w:name w:val="Sub-clause (level 4) Char"/>
    <w:basedOn w:val="Sub-clauselevel3Char"/>
    <w:link w:val="Sub-clauselevel4"/>
    <w:rsid w:val="00AB79B1"/>
    <w:rPr>
      <w:rFonts w:ascii="Arial" w:hAnsi="Arial"/>
      <w:color w:val="000000" w:themeColor="text1"/>
      <w:sz w:val="24"/>
    </w:rPr>
  </w:style>
  <w:style w:type="paragraph" w:customStyle="1" w:styleId="Normalnos">
    <w:name w:val="Normal nos."/>
    <w:basedOn w:val="Normal"/>
    <w:link w:val="NormalnosChar"/>
    <w:qFormat/>
    <w:rsid w:val="00EF50C6"/>
    <w:pPr>
      <w:numPr>
        <w:numId w:val="41"/>
      </w:numPr>
      <w:tabs>
        <w:tab w:val="left" w:pos="1134"/>
      </w:tabs>
      <w:ind w:left="567" w:hanging="567"/>
    </w:pPr>
    <w:rPr>
      <w:b/>
    </w:rPr>
  </w:style>
  <w:style w:type="numbering" w:customStyle="1" w:styleId="Numberslevel1">
    <w:name w:val="Numbers ( level 1)"/>
    <w:uiPriority w:val="99"/>
    <w:rsid w:val="00E102CA"/>
    <w:pPr>
      <w:numPr>
        <w:numId w:val="21"/>
      </w:numPr>
    </w:pPr>
  </w:style>
  <w:style w:type="numbering" w:customStyle="1" w:styleId="Number-level1">
    <w:name w:val="Number - level 1"/>
    <w:uiPriority w:val="99"/>
    <w:rsid w:val="00D65DDC"/>
    <w:pPr>
      <w:numPr>
        <w:numId w:val="22"/>
      </w:numPr>
    </w:pPr>
  </w:style>
  <w:style w:type="character" w:customStyle="1" w:styleId="NormalnosChar">
    <w:name w:val="Normal nos. Char"/>
    <w:basedOn w:val="DefaultParagraphFont"/>
    <w:link w:val="Normalnos"/>
    <w:rsid w:val="00EF50C6"/>
    <w:rPr>
      <w:rFonts w:ascii="Arial" w:hAnsi="Arial"/>
      <w:b/>
      <w:color w:val="000000" w:themeColor="text1"/>
      <w:sz w:val="24"/>
    </w:rPr>
  </w:style>
  <w:style w:type="paragraph" w:styleId="Subtitle">
    <w:name w:val="Subtitle"/>
    <w:basedOn w:val="Normal"/>
    <w:next w:val="Normal"/>
    <w:link w:val="SubtitleChar"/>
    <w:uiPriority w:val="11"/>
    <w:qFormat/>
    <w:rsid w:val="00D96445"/>
    <w:pPr>
      <w:numPr>
        <w:ilvl w:val="1"/>
      </w:numPr>
      <w:tabs>
        <w:tab w:val="clear" w:pos="567"/>
        <w:tab w:val="clear" w:pos="1418"/>
        <w:tab w:val="clear" w:pos="1843"/>
      </w:tabs>
      <w:spacing w:after="160" w:line="259" w:lineRule="auto"/>
    </w:pPr>
    <w:rPr>
      <w:rFonts w:ascii="Georgia" w:eastAsiaTheme="minorEastAsia" w:hAnsi="Georgia"/>
      <w:color w:val="5A5A5A" w:themeColor="text1" w:themeTint="A5"/>
      <w:spacing w:val="15"/>
      <w:sz w:val="22"/>
    </w:rPr>
  </w:style>
  <w:style w:type="character" w:customStyle="1" w:styleId="SubtitleChar">
    <w:name w:val="Subtitle Char"/>
    <w:basedOn w:val="DefaultParagraphFont"/>
    <w:link w:val="Subtitle"/>
    <w:uiPriority w:val="11"/>
    <w:rsid w:val="00D96445"/>
    <w:rPr>
      <w:rFonts w:ascii="Georgia" w:eastAsiaTheme="minorEastAsia" w:hAnsi="Georgia"/>
      <w:color w:val="5A5A5A" w:themeColor="text1" w:themeTint="A5"/>
      <w:spacing w:val="15"/>
    </w:rPr>
  </w:style>
  <w:style w:type="paragraph" w:styleId="CommentSubject">
    <w:name w:val="annotation subject"/>
    <w:basedOn w:val="CommentText"/>
    <w:next w:val="CommentText"/>
    <w:link w:val="CommentSubjectChar"/>
    <w:uiPriority w:val="99"/>
    <w:semiHidden/>
    <w:unhideWhenUsed/>
    <w:rsid w:val="00E109D4"/>
    <w:pPr>
      <w:widowControl/>
      <w:spacing w:after="240"/>
      <w:jc w:val="left"/>
    </w:pPr>
    <w:rPr>
      <w:rFonts w:eastAsiaTheme="minorHAnsi" w:cstheme="minorBidi"/>
      <w:b/>
      <w:bCs/>
      <w:color w:val="000000" w:themeColor="text1"/>
    </w:rPr>
  </w:style>
  <w:style w:type="character" w:customStyle="1" w:styleId="CommentSubjectChar">
    <w:name w:val="Comment Subject Char"/>
    <w:basedOn w:val="CommentTextChar"/>
    <w:link w:val="CommentSubject"/>
    <w:uiPriority w:val="99"/>
    <w:semiHidden/>
    <w:rsid w:val="00E109D4"/>
    <w:rPr>
      <w:rFonts w:ascii="Arial" w:eastAsia="Times New Roman" w:hAnsi="Arial" w:cs="Times New Roman"/>
      <w:b/>
      <w:bCs/>
      <w:color w:val="000000" w:themeColor="text1"/>
      <w:sz w:val="20"/>
      <w:szCs w:val="20"/>
    </w:rPr>
  </w:style>
  <w:style w:type="character" w:styleId="UnresolvedMention">
    <w:name w:val="Unresolved Mention"/>
    <w:basedOn w:val="DefaultParagraphFont"/>
    <w:uiPriority w:val="99"/>
    <w:semiHidden/>
    <w:unhideWhenUsed/>
    <w:rsid w:val="003B6DB7"/>
    <w:rPr>
      <w:color w:val="605E5C"/>
      <w:shd w:val="clear" w:color="auto" w:fill="E1DFDD"/>
    </w:rPr>
  </w:style>
  <w:style w:type="paragraph" w:styleId="FootnoteText">
    <w:name w:val="footnote text"/>
    <w:basedOn w:val="Normal"/>
    <w:link w:val="FootnoteTextChar"/>
    <w:uiPriority w:val="99"/>
    <w:semiHidden/>
    <w:unhideWhenUsed/>
    <w:rsid w:val="0087546D"/>
    <w:pPr>
      <w:spacing w:after="0"/>
    </w:pPr>
    <w:rPr>
      <w:sz w:val="20"/>
      <w:szCs w:val="20"/>
    </w:rPr>
  </w:style>
  <w:style w:type="character" w:customStyle="1" w:styleId="FootnoteTextChar">
    <w:name w:val="Footnote Text Char"/>
    <w:basedOn w:val="DefaultParagraphFont"/>
    <w:link w:val="FootnoteText"/>
    <w:uiPriority w:val="99"/>
    <w:semiHidden/>
    <w:rsid w:val="0087546D"/>
    <w:rPr>
      <w:rFonts w:ascii="Arial" w:hAnsi="Arial"/>
      <w:color w:val="000000" w:themeColor="text1"/>
      <w:sz w:val="20"/>
      <w:szCs w:val="20"/>
    </w:rPr>
  </w:style>
  <w:style w:type="character" w:styleId="FootnoteReference">
    <w:name w:val="footnote reference"/>
    <w:basedOn w:val="DefaultParagraphFont"/>
    <w:uiPriority w:val="99"/>
    <w:semiHidden/>
    <w:unhideWhenUsed/>
    <w:rsid w:val="0087546D"/>
    <w:rPr>
      <w:vertAlign w:val="superscript"/>
    </w:rPr>
  </w:style>
  <w:style w:type="paragraph" w:styleId="TOC2">
    <w:name w:val="toc 2"/>
    <w:basedOn w:val="Normal"/>
    <w:next w:val="Normal"/>
    <w:autoRedefine/>
    <w:uiPriority w:val="39"/>
    <w:unhideWhenUsed/>
    <w:rsid w:val="00B9689C"/>
    <w:pPr>
      <w:tabs>
        <w:tab w:val="clear" w:pos="567"/>
        <w:tab w:val="clear" w:pos="1418"/>
        <w:tab w:val="clear" w:pos="1843"/>
      </w:tabs>
      <w:spacing w:after="100"/>
      <w:ind w:left="240"/>
    </w:pPr>
  </w:style>
  <w:style w:type="paragraph" w:styleId="TOC1">
    <w:name w:val="toc 1"/>
    <w:basedOn w:val="Normal"/>
    <w:next w:val="Normal"/>
    <w:autoRedefine/>
    <w:uiPriority w:val="39"/>
    <w:unhideWhenUsed/>
    <w:rsid w:val="000A0044"/>
    <w:pPr>
      <w:tabs>
        <w:tab w:val="clear" w:pos="567"/>
        <w:tab w:val="clear" w:pos="1418"/>
        <w:tab w:val="clear" w:pos="1843"/>
        <w:tab w:val="right" w:leader="dot" w:pos="9288"/>
      </w:tabs>
      <w:spacing w:after="100"/>
    </w:pPr>
  </w:style>
  <w:style w:type="character" w:styleId="FollowedHyperlink">
    <w:name w:val="FollowedHyperlink"/>
    <w:basedOn w:val="DefaultParagraphFont"/>
    <w:uiPriority w:val="99"/>
    <w:semiHidden/>
    <w:unhideWhenUsed/>
    <w:rsid w:val="00E0302A"/>
    <w:rPr>
      <w:color w:val="954F72" w:themeColor="followedHyperlink"/>
      <w:u w:val="single"/>
    </w:rPr>
  </w:style>
  <w:style w:type="paragraph" w:styleId="Revision">
    <w:name w:val="Revision"/>
    <w:hidden/>
    <w:uiPriority w:val="99"/>
    <w:semiHidden/>
    <w:rsid w:val="00C6203F"/>
    <w:pPr>
      <w:spacing w:after="0" w:line="240" w:lineRule="auto"/>
    </w:pPr>
    <w:rPr>
      <w:rFonts w:ascii="Arial" w:hAnsi="Arial"/>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985574">
      <w:bodyDiv w:val="1"/>
      <w:marLeft w:val="0"/>
      <w:marRight w:val="0"/>
      <w:marTop w:val="0"/>
      <w:marBottom w:val="0"/>
      <w:divBdr>
        <w:top w:val="none" w:sz="0" w:space="0" w:color="auto"/>
        <w:left w:val="none" w:sz="0" w:space="0" w:color="auto"/>
        <w:bottom w:val="none" w:sz="0" w:space="0" w:color="auto"/>
        <w:right w:val="none" w:sz="0" w:space="0" w:color="auto"/>
      </w:divBdr>
      <w:divsChild>
        <w:div w:id="985165028">
          <w:marLeft w:val="0"/>
          <w:marRight w:val="0"/>
          <w:marTop w:val="0"/>
          <w:marBottom w:val="0"/>
          <w:divBdr>
            <w:top w:val="none" w:sz="0" w:space="0" w:color="auto"/>
            <w:left w:val="none" w:sz="0" w:space="0" w:color="auto"/>
            <w:bottom w:val="none" w:sz="0" w:space="0" w:color="auto"/>
            <w:right w:val="none" w:sz="0" w:space="0" w:color="auto"/>
          </w:divBdr>
          <w:divsChild>
            <w:div w:id="446586534">
              <w:marLeft w:val="0"/>
              <w:marRight w:val="0"/>
              <w:marTop w:val="0"/>
              <w:marBottom w:val="0"/>
              <w:divBdr>
                <w:top w:val="none" w:sz="0" w:space="0" w:color="auto"/>
                <w:left w:val="none" w:sz="0" w:space="0" w:color="auto"/>
                <w:bottom w:val="none" w:sz="0" w:space="0" w:color="auto"/>
                <w:right w:val="none" w:sz="0" w:space="0" w:color="auto"/>
              </w:divBdr>
              <w:divsChild>
                <w:div w:id="496727339">
                  <w:marLeft w:val="0"/>
                  <w:marRight w:val="0"/>
                  <w:marTop w:val="0"/>
                  <w:marBottom w:val="0"/>
                  <w:divBdr>
                    <w:top w:val="none" w:sz="0" w:space="0" w:color="auto"/>
                    <w:left w:val="none" w:sz="0" w:space="0" w:color="auto"/>
                    <w:bottom w:val="none" w:sz="0" w:space="0" w:color="auto"/>
                    <w:right w:val="none" w:sz="0" w:space="0" w:color="auto"/>
                  </w:divBdr>
                  <w:divsChild>
                    <w:div w:id="1507667612">
                      <w:marLeft w:val="0"/>
                      <w:marRight w:val="0"/>
                      <w:marTop w:val="0"/>
                      <w:marBottom w:val="0"/>
                      <w:divBdr>
                        <w:top w:val="none" w:sz="0" w:space="0" w:color="auto"/>
                        <w:left w:val="none" w:sz="0" w:space="0" w:color="auto"/>
                        <w:bottom w:val="none" w:sz="0" w:space="0" w:color="auto"/>
                        <w:right w:val="none" w:sz="0" w:space="0" w:color="auto"/>
                      </w:divBdr>
                      <w:divsChild>
                        <w:div w:id="511534817">
                          <w:marLeft w:val="12300"/>
                          <w:marRight w:val="0"/>
                          <w:marTop w:val="0"/>
                          <w:marBottom w:val="0"/>
                          <w:divBdr>
                            <w:top w:val="none" w:sz="0" w:space="0" w:color="auto"/>
                            <w:left w:val="none" w:sz="0" w:space="0" w:color="auto"/>
                            <w:bottom w:val="none" w:sz="0" w:space="0" w:color="auto"/>
                            <w:right w:val="none" w:sz="0" w:space="0" w:color="auto"/>
                          </w:divBdr>
                          <w:divsChild>
                            <w:div w:id="1352224414">
                              <w:marLeft w:val="0"/>
                              <w:marRight w:val="0"/>
                              <w:marTop w:val="0"/>
                              <w:marBottom w:val="405"/>
                              <w:divBdr>
                                <w:top w:val="none" w:sz="0" w:space="0" w:color="auto"/>
                                <w:left w:val="none" w:sz="0" w:space="0" w:color="auto"/>
                                <w:bottom w:val="none" w:sz="0" w:space="0" w:color="auto"/>
                                <w:right w:val="none" w:sz="0" w:space="0" w:color="auto"/>
                              </w:divBdr>
                              <w:divsChild>
                                <w:div w:id="1661076576">
                                  <w:marLeft w:val="0"/>
                                  <w:marRight w:val="0"/>
                                  <w:marTop w:val="0"/>
                                  <w:marBottom w:val="0"/>
                                  <w:divBdr>
                                    <w:top w:val="none" w:sz="0" w:space="0" w:color="auto"/>
                                    <w:left w:val="none" w:sz="0" w:space="0" w:color="auto"/>
                                    <w:bottom w:val="none" w:sz="0" w:space="0" w:color="auto"/>
                                    <w:right w:val="none" w:sz="0" w:space="0" w:color="auto"/>
                                  </w:divBdr>
                                  <w:divsChild>
                                    <w:div w:id="951939896">
                                      <w:marLeft w:val="0"/>
                                      <w:marRight w:val="0"/>
                                      <w:marTop w:val="0"/>
                                      <w:marBottom w:val="0"/>
                                      <w:divBdr>
                                        <w:top w:val="none" w:sz="0" w:space="0" w:color="auto"/>
                                        <w:left w:val="none" w:sz="0" w:space="0" w:color="auto"/>
                                        <w:bottom w:val="none" w:sz="0" w:space="0" w:color="auto"/>
                                        <w:right w:val="none" w:sz="0" w:space="0" w:color="auto"/>
                                      </w:divBdr>
                                      <w:divsChild>
                                        <w:div w:id="1910143980">
                                          <w:marLeft w:val="0"/>
                                          <w:marRight w:val="0"/>
                                          <w:marTop w:val="0"/>
                                          <w:marBottom w:val="0"/>
                                          <w:divBdr>
                                            <w:top w:val="none" w:sz="0" w:space="0" w:color="auto"/>
                                            <w:left w:val="none" w:sz="0" w:space="0" w:color="auto"/>
                                            <w:bottom w:val="none" w:sz="0" w:space="0" w:color="auto"/>
                                            <w:right w:val="none" w:sz="0" w:space="0" w:color="auto"/>
                                          </w:divBdr>
                                          <w:divsChild>
                                            <w:div w:id="1939555409">
                                              <w:marLeft w:val="0"/>
                                              <w:marRight w:val="0"/>
                                              <w:marTop w:val="0"/>
                                              <w:marBottom w:val="0"/>
                                              <w:divBdr>
                                                <w:top w:val="none" w:sz="0" w:space="0" w:color="auto"/>
                                                <w:left w:val="none" w:sz="0" w:space="0" w:color="auto"/>
                                                <w:bottom w:val="none" w:sz="0" w:space="0" w:color="auto"/>
                                                <w:right w:val="none" w:sz="0" w:space="0" w:color="auto"/>
                                              </w:divBdr>
                                              <w:divsChild>
                                                <w:div w:id="65689712">
                                                  <w:marLeft w:val="0"/>
                                                  <w:marRight w:val="0"/>
                                                  <w:marTop w:val="0"/>
                                                  <w:marBottom w:val="0"/>
                                                  <w:divBdr>
                                                    <w:top w:val="none" w:sz="0" w:space="0" w:color="auto"/>
                                                    <w:left w:val="none" w:sz="0" w:space="0" w:color="auto"/>
                                                    <w:bottom w:val="none" w:sz="0" w:space="0" w:color="auto"/>
                                                    <w:right w:val="none" w:sz="0" w:space="0" w:color="auto"/>
                                                  </w:divBdr>
                                                  <w:divsChild>
                                                    <w:div w:id="845752546">
                                                      <w:marLeft w:val="0"/>
                                                      <w:marRight w:val="0"/>
                                                      <w:marTop w:val="0"/>
                                                      <w:marBottom w:val="0"/>
                                                      <w:divBdr>
                                                        <w:top w:val="none" w:sz="0" w:space="0" w:color="auto"/>
                                                        <w:left w:val="none" w:sz="0" w:space="0" w:color="auto"/>
                                                        <w:bottom w:val="none" w:sz="0" w:space="0" w:color="auto"/>
                                                        <w:right w:val="none" w:sz="0" w:space="0" w:color="auto"/>
                                                      </w:divBdr>
                                                      <w:divsChild>
                                                        <w:div w:id="1900675120">
                                                          <w:marLeft w:val="0"/>
                                                          <w:marRight w:val="0"/>
                                                          <w:marTop w:val="0"/>
                                                          <w:marBottom w:val="0"/>
                                                          <w:divBdr>
                                                            <w:top w:val="none" w:sz="0" w:space="0" w:color="auto"/>
                                                            <w:left w:val="none" w:sz="0" w:space="0" w:color="auto"/>
                                                            <w:bottom w:val="none" w:sz="0" w:space="0" w:color="auto"/>
                                                            <w:right w:val="none" w:sz="0" w:space="0" w:color="auto"/>
                                                          </w:divBdr>
                                                          <w:divsChild>
                                                            <w:div w:id="730738681">
                                                              <w:marLeft w:val="0"/>
                                                              <w:marRight w:val="0"/>
                                                              <w:marTop w:val="0"/>
                                                              <w:marBottom w:val="0"/>
                                                              <w:divBdr>
                                                                <w:top w:val="none" w:sz="0" w:space="0" w:color="auto"/>
                                                                <w:left w:val="none" w:sz="0" w:space="0" w:color="auto"/>
                                                                <w:bottom w:val="none" w:sz="0" w:space="0" w:color="auto"/>
                                                                <w:right w:val="none" w:sz="0" w:space="0" w:color="auto"/>
                                                              </w:divBdr>
                                                              <w:divsChild>
                                                                <w:div w:id="268389606">
                                                                  <w:marLeft w:val="0"/>
                                                                  <w:marRight w:val="0"/>
                                                                  <w:marTop w:val="0"/>
                                                                  <w:marBottom w:val="0"/>
                                                                  <w:divBdr>
                                                                    <w:top w:val="none" w:sz="0" w:space="0" w:color="auto"/>
                                                                    <w:left w:val="none" w:sz="0" w:space="0" w:color="auto"/>
                                                                    <w:bottom w:val="none" w:sz="0" w:space="0" w:color="auto"/>
                                                                    <w:right w:val="none" w:sz="0" w:space="0" w:color="auto"/>
                                                                  </w:divBdr>
                                                                  <w:divsChild>
                                                                    <w:div w:id="522943710">
                                                                      <w:marLeft w:val="0"/>
                                                                      <w:marRight w:val="0"/>
                                                                      <w:marTop w:val="0"/>
                                                                      <w:marBottom w:val="0"/>
                                                                      <w:divBdr>
                                                                        <w:top w:val="none" w:sz="0" w:space="0" w:color="auto"/>
                                                                        <w:left w:val="none" w:sz="0" w:space="0" w:color="auto"/>
                                                                        <w:bottom w:val="none" w:sz="0" w:space="0" w:color="auto"/>
                                                                        <w:right w:val="none" w:sz="0" w:space="0" w:color="auto"/>
                                                                      </w:divBdr>
                                                                      <w:divsChild>
                                                                        <w:div w:id="42788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yresearchproject.org.uk/help/hlptemplatesfor.aspx" TargetMode="External"/><Relationship Id="rId18" Type="http://schemas.openxmlformats.org/officeDocument/2006/relationships/hyperlink" Target="https://www.myresearchproject.org.uk/help/hlptemplatesfor.aspx" TargetMode="External"/><Relationship Id="rId26" Type="http://schemas.openxmlformats.org/officeDocument/2006/relationships/hyperlink" Target="https://www.myresearchproject.org.uk/help/hlpinterventional.aspx" TargetMode="External"/><Relationship Id="rId3" Type="http://schemas.openxmlformats.org/officeDocument/2006/relationships/customXml" Target="../customXml/item3.xml"/><Relationship Id="rId21" Type="http://schemas.openxmlformats.org/officeDocument/2006/relationships/hyperlink" Target="https://www.england.nhs.uk/aac/what-we-do/embedding-research-in-the-nhs/national-contract-value-review/" TargetMode="External"/><Relationship Id="rId7" Type="http://schemas.openxmlformats.org/officeDocument/2006/relationships/settings" Target="settings.xml"/><Relationship Id="rId12" Type="http://schemas.openxmlformats.org/officeDocument/2006/relationships/hyperlink" Target="https://www.myresearchproject.org.uk/help/hlptemplatesfor.aspx" TargetMode="External"/><Relationship Id="rId17" Type="http://schemas.openxmlformats.org/officeDocument/2006/relationships/image" Target="media/image1.png"/><Relationship Id="rId25" Type="http://schemas.openxmlformats.org/officeDocument/2006/relationships/hyperlink" Target="mailto:ResearchContracts@innovations.hscni.net" TargetMode="External"/><Relationship Id="rId2" Type="http://schemas.openxmlformats.org/officeDocument/2006/relationships/customXml" Target="../customXml/item2.xml"/><Relationship Id="rId16" Type="http://schemas.openxmlformats.org/officeDocument/2006/relationships/hyperlink" Target="https://www.myresearchproject.org.uk/help/hlpinterventional.aspx" TargetMode="External"/><Relationship Id="rId20" Type="http://schemas.openxmlformats.org/officeDocument/2006/relationships/hyperlink" Target="https://www.gov.uk/hmrc-internal-manuals/vat-health/vathlt100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yresearchproject.org.uk/help/hlpsitespecific.aspx" TargetMode="External"/><Relationship Id="rId24" Type="http://schemas.openxmlformats.org/officeDocument/2006/relationships/hyperlink" Target="mailto:enquiries@nrs.org.uk" TargetMode="External"/><Relationship Id="rId5" Type="http://schemas.openxmlformats.org/officeDocument/2006/relationships/numbering" Target="numbering.xml"/><Relationship Id="rId15" Type="http://schemas.openxmlformats.org/officeDocument/2006/relationships/hyperlink" Target="https://www.myresearchproject.org.uk/help/hlpsitespecific.aspx" TargetMode="External"/><Relationship Id="rId23" Type="http://schemas.openxmlformats.org/officeDocument/2006/relationships/hyperlink" Target="mailto:research-contracts@wales.nhs.uk"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myresearchproject.org.uk/help/hlpsitespecific.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yresearchproject.org.uk/help/hlptemplatesfor.aspx" TargetMode="External"/><Relationship Id="rId22" Type="http://schemas.openxmlformats.org/officeDocument/2006/relationships/hyperlink" Target="mailto:alastair.nicholson@hra.nhs.uk"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FF7E7ED041D04B9C9001CD6756193B" ma:contentTypeVersion="13" ma:contentTypeDescription="Create a new document." ma:contentTypeScope="" ma:versionID="5d008c23582139fe3cc89d1925a48529">
  <xsd:schema xmlns:xsd="http://www.w3.org/2001/XMLSchema" xmlns:xs="http://www.w3.org/2001/XMLSchema" xmlns:p="http://schemas.microsoft.com/office/2006/metadata/properties" xmlns:ns2="a68e5744-aafb-4493-8cfd-30288881ece5" xmlns:ns3="660d7857-81c1-41d7-905c-c3e85485e3d4" targetNamespace="http://schemas.microsoft.com/office/2006/metadata/properties" ma:root="true" ma:fieldsID="bf9ddad21ac4f0e0769251f1722d3815" ns2:_="" ns3:_="">
    <xsd:import namespace="a68e5744-aafb-4493-8cfd-30288881ece5"/>
    <xsd:import namespace="660d7857-81c1-41d7-905c-c3e85485e3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e5744-aafb-4493-8cfd-30288881e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0d7857-81c1-41d7-905c-c3e85485e3d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F0C1DD-0525-4981-84F5-49927E291BE3}">
  <ds:schemaRefs>
    <ds:schemaRef ds:uri="http://schemas.openxmlformats.org/officeDocument/2006/bibliography"/>
  </ds:schemaRefs>
</ds:datastoreItem>
</file>

<file path=customXml/itemProps2.xml><?xml version="1.0" encoding="utf-8"?>
<ds:datastoreItem xmlns:ds="http://schemas.openxmlformats.org/officeDocument/2006/customXml" ds:itemID="{77E9FA63-D16D-4CAD-9359-43DEE7B3F030}">
  <ds:schemaRefs>
    <ds:schemaRef ds:uri="http://purl.org/dc/terms/"/>
    <ds:schemaRef ds:uri="http://purl.org/dc/dcmitype/"/>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660d7857-81c1-41d7-905c-c3e85485e3d4"/>
    <ds:schemaRef ds:uri="http://www.w3.org/XML/1998/namespace"/>
    <ds:schemaRef ds:uri="a68e5744-aafb-4493-8cfd-30288881ece5"/>
    <ds:schemaRef ds:uri="http://schemas.microsoft.com/office/2006/metadata/properties"/>
  </ds:schemaRefs>
</ds:datastoreItem>
</file>

<file path=customXml/itemProps3.xml><?xml version="1.0" encoding="utf-8"?>
<ds:datastoreItem xmlns:ds="http://schemas.openxmlformats.org/officeDocument/2006/customXml" ds:itemID="{3B559A46-03E3-4F81-92AF-A9B6DB25D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e5744-aafb-4493-8cfd-30288881ece5"/>
    <ds:schemaRef ds:uri="660d7857-81c1-41d7-905c-c3e85485e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D86812-4962-46B3-BEAE-B400AC8BBA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9886</Words>
  <Characters>56355</Characters>
  <Application>Microsoft Office Word</Application>
  <DocSecurity>0</DocSecurity>
  <Lines>469</Lines>
  <Paragraphs>132</Paragraphs>
  <ScaleCrop>false</ScaleCrop>
  <Company/>
  <LinksUpToDate>false</LinksUpToDate>
  <CharactersWithSpaces>66109</CharactersWithSpaces>
  <SharedDoc>false</SharedDoc>
  <HLinks>
    <vt:vector size="174" baseType="variant">
      <vt:variant>
        <vt:i4>5963798</vt:i4>
      </vt:variant>
      <vt:variant>
        <vt:i4>120</vt:i4>
      </vt:variant>
      <vt:variant>
        <vt:i4>0</vt:i4>
      </vt:variant>
      <vt:variant>
        <vt:i4>5</vt:i4>
      </vt:variant>
      <vt:variant>
        <vt:lpwstr>https://www.myresearchproject.org.uk/help/hlpinterventional.aspx</vt:lpwstr>
      </vt:variant>
      <vt:variant>
        <vt:lpwstr/>
      </vt:variant>
      <vt:variant>
        <vt:i4>7274497</vt:i4>
      </vt:variant>
      <vt:variant>
        <vt:i4>117</vt:i4>
      </vt:variant>
      <vt:variant>
        <vt:i4>0</vt:i4>
      </vt:variant>
      <vt:variant>
        <vt:i4>5</vt:i4>
      </vt:variant>
      <vt:variant>
        <vt:lpwstr>mailto:ResearchContracts@innovations.hscni.net</vt:lpwstr>
      </vt:variant>
      <vt:variant>
        <vt:lpwstr/>
      </vt:variant>
      <vt:variant>
        <vt:i4>6619142</vt:i4>
      </vt:variant>
      <vt:variant>
        <vt:i4>114</vt:i4>
      </vt:variant>
      <vt:variant>
        <vt:i4>0</vt:i4>
      </vt:variant>
      <vt:variant>
        <vt:i4>5</vt:i4>
      </vt:variant>
      <vt:variant>
        <vt:lpwstr>mailto:enquiries@nrs.org.uk</vt:lpwstr>
      </vt:variant>
      <vt:variant>
        <vt:lpwstr/>
      </vt:variant>
      <vt:variant>
        <vt:i4>327743</vt:i4>
      </vt:variant>
      <vt:variant>
        <vt:i4>111</vt:i4>
      </vt:variant>
      <vt:variant>
        <vt:i4>0</vt:i4>
      </vt:variant>
      <vt:variant>
        <vt:i4>5</vt:i4>
      </vt:variant>
      <vt:variant>
        <vt:lpwstr>mailto:research-contracts@wales.nhs.uk</vt:lpwstr>
      </vt:variant>
      <vt:variant>
        <vt:lpwstr/>
      </vt:variant>
      <vt:variant>
        <vt:i4>6422616</vt:i4>
      </vt:variant>
      <vt:variant>
        <vt:i4>108</vt:i4>
      </vt:variant>
      <vt:variant>
        <vt:i4>0</vt:i4>
      </vt:variant>
      <vt:variant>
        <vt:i4>5</vt:i4>
      </vt:variant>
      <vt:variant>
        <vt:lpwstr>mailto:alastair.nicholson@hra.nhs.uk</vt:lpwstr>
      </vt:variant>
      <vt:variant>
        <vt:lpwstr/>
      </vt:variant>
      <vt:variant>
        <vt:i4>3801199</vt:i4>
      </vt:variant>
      <vt:variant>
        <vt:i4>105</vt:i4>
      </vt:variant>
      <vt:variant>
        <vt:i4>0</vt:i4>
      </vt:variant>
      <vt:variant>
        <vt:i4>5</vt:i4>
      </vt:variant>
      <vt:variant>
        <vt:lpwstr>https://www.england.nhs.uk/aac/what-we-do/embedding-research-in-the-nhs/national-contract-value-review/</vt:lpwstr>
      </vt:variant>
      <vt:variant>
        <vt:lpwstr/>
      </vt:variant>
      <vt:variant>
        <vt:i4>6291507</vt:i4>
      </vt:variant>
      <vt:variant>
        <vt:i4>102</vt:i4>
      </vt:variant>
      <vt:variant>
        <vt:i4>0</vt:i4>
      </vt:variant>
      <vt:variant>
        <vt:i4>5</vt:i4>
      </vt:variant>
      <vt:variant>
        <vt:lpwstr>https://www.gov.uk/hmrc-internal-manuals/vat-health/vathlt1000</vt:lpwstr>
      </vt:variant>
      <vt:variant>
        <vt:lpwstr/>
      </vt:variant>
      <vt:variant>
        <vt:i4>7995497</vt:i4>
      </vt:variant>
      <vt:variant>
        <vt:i4>99</vt:i4>
      </vt:variant>
      <vt:variant>
        <vt:i4>0</vt:i4>
      </vt:variant>
      <vt:variant>
        <vt:i4>5</vt:i4>
      </vt:variant>
      <vt:variant>
        <vt:lpwstr>https://www.myresearchproject.org.uk/help/hlpsitespecific.aspx</vt:lpwstr>
      </vt:variant>
      <vt:variant>
        <vt:lpwstr>UK-Local-Information-Pack-Delegation-Log</vt:lpwstr>
      </vt:variant>
      <vt:variant>
        <vt:i4>4718621</vt:i4>
      </vt:variant>
      <vt:variant>
        <vt:i4>96</vt:i4>
      </vt:variant>
      <vt:variant>
        <vt:i4>0</vt:i4>
      </vt:variant>
      <vt:variant>
        <vt:i4>5</vt:i4>
      </vt:variant>
      <vt:variant>
        <vt:lpwstr>https://www.myresearchproject.org.uk/help/hlptemplatesfor.aspx</vt:lpwstr>
      </vt:variant>
      <vt:variant>
        <vt:lpwstr>HubSpokeAgreements</vt:lpwstr>
      </vt:variant>
      <vt:variant>
        <vt:i4>5963798</vt:i4>
      </vt:variant>
      <vt:variant>
        <vt:i4>93</vt:i4>
      </vt:variant>
      <vt:variant>
        <vt:i4>0</vt:i4>
      </vt:variant>
      <vt:variant>
        <vt:i4>5</vt:i4>
      </vt:variant>
      <vt:variant>
        <vt:lpwstr>https://www.myresearchproject.org.uk/help/hlpinterventional.aspx</vt:lpwstr>
      </vt:variant>
      <vt:variant>
        <vt:lpwstr/>
      </vt:variant>
      <vt:variant>
        <vt:i4>8257584</vt:i4>
      </vt:variant>
      <vt:variant>
        <vt:i4>90</vt:i4>
      </vt:variant>
      <vt:variant>
        <vt:i4>0</vt:i4>
      </vt:variant>
      <vt:variant>
        <vt:i4>5</vt:i4>
      </vt:variant>
      <vt:variant>
        <vt:lpwstr>https://www.myresearchproject.org.uk/help/hlpsitespecific.aspx</vt:lpwstr>
      </vt:variant>
      <vt:variant>
        <vt:lpwstr>UK-Local-Information-Pack-OID</vt:lpwstr>
      </vt:variant>
      <vt:variant>
        <vt:i4>1114143</vt:i4>
      </vt:variant>
      <vt:variant>
        <vt:i4>87</vt:i4>
      </vt:variant>
      <vt:variant>
        <vt:i4>0</vt:i4>
      </vt:variant>
      <vt:variant>
        <vt:i4>5</vt:i4>
      </vt:variant>
      <vt:variant>
        <vt:lpwstr>https://www.myresearchproject.org.uk/help/hlptemplatesfor.aspx</vt:lpwstr>
      </vt:variant>
      <vt:variant>
        <vt:lpwstr>mNISA-CROmNISA</vt:lpwstr>
      </vt:variant>
      <vt:variant>
        <vt:i4>3801140</vt:i4>
      </vt:variant>
      <vt:variant>
        <vt:i4>84</vt:i4>
      </vt:variant>
      <vt:variant>
        <vt:i4>0</vt:i4>
      </vt:variant>
      <vt:variant>
        <vt:i4>5</vt:i4>
      </vt:variant>
      <vt:variant>
        <vt:lpwstr>https://www.myresearchproject.org.uk/help/hlptemplatesfor.aspx</vt:lpwstr>
      </vt:variant>
      <vt:variant>
        <vt:lpwstr>mCIA-CROmCIA</vt:lpwstr>
      </vt:variant>
      <vt:variant>
        <vt:i4>3735653</vt:i4>
      </vt:variant>
      <vt:variant>
        <vt:i4>81</vt:i4>
      </vt:variant>
      <vt:variant>
        <vt:i4>0</vt:i4>
      </vt:variant>
      <vt:variant>
        <vt:i4>5</vt:i4>
      </vt:variant>
      <vt:variant>
        <vt:lpwstr>https://www.myresearchproject.org.uk/help/hlptemplatesfor.aspx</vt:lpwstr>
      </vt:variant>
      <vt:variant>
        <vt:lpwstr>mNCA</vt:lpwstr>
      </vt:variant>
      <vt:variant>
        <vt:i4>4980821</vt:i4>
      </vt:variant>
      <vt:variant>
        <vt:i4>78</vt:i4>
      </vt:variant>
      <vt:variant>
        <vt:i4>0</vt:i4>
      </vt:variant>
      <vt:variant>
        <vt:i4>5</vt:i4>
      </vt:variant>
      <vt:variant>
        <vt:lpwstr>https://www.myresearchproject.org.uk/help/hlptemplatesfor.aspx</vt:lpwstr>
      </vt:variant>
      <vt:variant>
        <vt:lpwstr>PC-mCTA</vt:lpwstr>
      </vt:variant>
      <vt:variant>
        <vt:i4>8257584</vt:i4>
      </vt:variant>
      <vt:variant>
        <vt:i4>75</vt:i4>
      </vt:variant>
      <vt:variant>
        <vt:i4>0</vt:i4>
      </vt:variant>
      <vt:variant>
        <vt:i4>5</vt:i4>
      </vt:variant>
      <vt:variant>
        <vt:lpwstr>https://www.myresearchproject.org.uk/help/hlpsitespecific.aspx</vt:lpwstr>
      </vt:variant>
      <vt:variant>
        <vt:lpwstr>UK-Local-Information-Pack-OID</vt:lpwstr>
      </vt:variant>
      <vt:variant>
        <vt:i4>3735653</vt:i4>
      </vt:variant>
      <vt:variant>
        <vt:i4>72</vt:i4>
      </vt:variant>
      <vt:variant>
        <vt:i4>0</vt:i4>
      </vt:variant>
      <vt:variant>
        <vt:i4>5</vt:i4>
      </vt:variant>
      <vt:variant>
        <vt:lpwstr>https://www.myresearchproject.org.uk/help/hlptemplatesfor.aspx</vt:lpwstr>
      </vt:variant>
      <vt:variant>
        <vt:lpwstr>mNCA</vt:lpwstr>
      </vt:variant>
      <vt:variant>
        <vt:i4>1179683</vt:i4>
      </vt:variant>
      <vt:variant>
        <vt:i4>69</vt:i4>
      </vt:variant>
      <vt:variant>
        <vt:i4>0</vt:i4>
      </vt:variant>
      <vt:variant>
        <vt:i4>5</vt:i4>
      </vt:variant>
      <vt:variant>
        <vt:lpwstr/>
      </vt:variant>
      <vt:variant>
        <vt:lpwstr>_Section_3:_Background</vt:lpwstr>
      </vt:variant>
      <vt:variant>
        <vt:i4>1835061</vt:i4>
      </vt:variant>
      <vt:variant>
        <vt:i4>62</vt:i4>
      </vt:variant>
      <vt:variant>
        <vt:i4>0</vt:i4>
      </vt:variant>
      <vt:variant>
        <vt:i4>5</vt:i4>
      </vt:variant>
      <vt:variant>
        <vt:lpwstr/>
      </vt:variant>
      <vt:variant>
        <vt:lpwstr>_Toc146538123</vt:lpwstr>
      </vt:variant>
      <vt:variant>
        <vt:i4>1835061</vt:i4>
      </vt:variant>
      <vt:variant>
        <vt:i4>56</vt:i4>
      </vt:variant>
      <vt:variant>
        <vt:i4>0</vt:i4>
      </vt:variant>
      <vt:variant>
        <vt:i4>5</vt:i4>
      </vt:variant>
      <vt:variant>
        <vt:lpwstr/>
      </vt:variant>
      <vt:variant>
        <vt:lpwstr>_Toc146538122</vt:lpwstr>
      </vt:variant>
      <vt:variant>
        <vt:i4>1835061</vt:i4>
      </vt:variant>
      <vt:variant>
        <vt:i4>50</vt:i4>
      </vt:variant>
      <vt:variant>
        <vt:i4>0</vt:i4>
      </vt:variant>
      <vt:variant>
        <vt:i4>5</vt:i4>
      </vt:variant>
      <vt:variant>
        <vt:lpwstr/>
      </vt:variant>
      <vt:variant>
        <vt:lpwstr>_Toc146538121</vt:lpwstr>
      </vt:variant>
      <vt:variant>
        <vt:i4>1835061</vt:i4>
      </vt:variant>
      <vt:variant>
        <vt:i4>44</vt:i4>
      </vt:variant>
      <vt:variant>
        <vt:i4>0</vt:i4>
      </vt:variant>
      <vt:variant>
        <vt:i4>5</vt:i4>
      </vt:variant>
      <vt:variant>
        <vt:lpwstr/>
      </vt:variant>
      <vt:variant>
        <vt:lpwstr>_Toc146538120</vt:lpwstr>
      </vt:variant>
      <vt:variant>
        <vt:i4>2031669</vt:i4>
      </vt:variant>
      <vt:variant>
        <vt:i4>38</vt:i4>
      </vt:variant>
      <vt:variant>
        <vt:i4>0</vt:i4>
      </vt:variant>
      <vt:variant>
        <vt:i4>5</vt:i4>
      </vt:variant>
      <vt:variant>
        <vt:lpwstr/>
      </vt:variant>
      <vt:variant>
        <vt:lpwstr>_Toc146538119</vt:lpwstr>
      </vt:variant>
      <vt:variant>
        <vt:i4>2031669</vt:i4>
      </vt:variant>
      <vt:variant>
        <vt:i4>32</vt:i4>
      </vt:variant>
      <vt:variant>
        <vt:i4>0</vt:i4>
      </vt:variant>
      <vt:variant>
        <vt:i4>5</vt:i4>
      </vt:variant>
      <vt:variant>
        <vt:lpwstr/>
      </vt:variant>
      <vt:variant>
        <vt:lpwstr>_Toc146538118</vt:lpwstr>
      </vt:variant>
      <vt:variant>
        <vt:i4>2031669</vt:i4>
      </vt:variant>
      <vt:variant>
        <vt:i4>26</vt:i4>
      </vt:variant>
      <vt:variant>
        <vt:i4>0</vt:i4>
      </vt:variant>
      <vt:variant>
        <vt:i4>5</vt:i4>
      </vt:variant>
      <vt:variant>
        <vt:lpwstr/>
      </vt:variant>
      <vt:variant>
        <vt:lpwstr>_Toc146538117</vt:lpwstr>
      </vt:variant>
      <vt:variant>
        <vt:i4>2031669</vt:i4>
      </vt:variant>
      <vt:variant>
        <vt:i4>20</vt:i4>
      </vt:variant>
      <vt:variant>
        <vt:i4>0</vt:i4>
      </vt:variant>
      <vt:variant>
        <vt:i4>5</vt:i4>
      </vt:variant>
      <vt:variant>
        <vt:lpwstr/>
      </vt:variant>
      <vt:variant>
        <vt:lpwstr>_Toc146538116</vt:lpwstr>
      </vt:variant>
      <vt:variant>
        <vt:i4>2031669</vt:i4>
      </vt:variant>
      <vt:variant>
        <vt:i4>14</vt:i4>
      </vt:variant>
      <vt:variant>
        <vt:i4>0</vt:i4>
      </vt:variant>
      <vt:variant>
        <vt:i4>5</vt:i4>
      </vt:variant>
      <vt:variant>
        <vt:lpwstr/>
      </vt:variant>
      <vt:variant>
        <vt:lpwstr>_Toc146538115</vt:lpwstr>
      </vt:variant>
      <vt:variant>
        <vt:i4>2031669</vt:i4>
      </vt:variant>
      <vt:variant>
        <vt:i4>8</vt:i4>
      </vt:variant>
      <vt:variant>
        <vt:i4>0</vt:i4>
      </vt:variant>
      <vt:variant>
        <vt:i4>5</vt:i4>
      </vt:variant>
      <vt:variant>
        <vt:lpwstr/>
      </vt:variant>
      <vt:variant>
        <vt:lpwstr>_Toc146538114</vt:lpwstr>
      </vt:variant>
      <vt:variant>
        <vt:i4>2031669</vt:i4>
      </vt:variant>
      <vt:variant>
        <vt:i4>2</vt:i4>
      </vt:variant>
      <vt:variant>
        <vt:i4>0</vt:i4>
      </vt:variant>
      <vt:variant>
        <vt:i4>5</vt:i4>
      </vt:variant>
      <vt:variant>
        <vt:lpwstr/>
      </vt:variant>
      <vt:variant>
        <vt:lpwstr>_Toc146538113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mCTA-CRO-mCTA guidance May 2022</dc:title>
  <dc:subject/>
  <dc:creator>Gill Habicht</dc:creator>
  <cp:keywords/>
  <dc:description/>
  <cp:lastModifiedBy>Alastair</cp:lastModifiedBy>
  <cp:revision>2</cp:revision>
  <cp:lastPrinted>2022-06-20T11:21:00Z</cp:lastPrinted>
  <dcterms:created xsi:type="dcterms:W3CDTF">2023-09-27T15:49:00Z</dcterms:created>
  <dcterms:modified xsi:type="dcterms:W3CDTF">2023-09-27T15:49:00Z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0x0101001AFF7E7ED041D04B9C9001CD6756193B</vt:lpwstr>
  </property>
</Properties>
</file>